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490" w:firstLineChars="790"/>
        <w:jc w:val="both"/>
        <w:rPr>
          <w:b/>
          <w:sz w:val="44"/>
          <w:szCs w:val="44"/>
        </w:rPr>
      </w:pPr>
      <w:r>
        <w:rPr>
          <w:rFonts w:hint="eastAsia"/>
          <w:b/>
          <w:sz w:val="44"/>
          <w:szCs w:val="44"/>
        </w:rPr>
        <w:t>邀</w:t>
      </w:r>
      <w:r>
        <w:rPr>
          <w:rFonts w:hint="eastAsia"/>
          <w:b/>
          <w:sz w:val="44"/>
          <w:szCs w:val="44"/>
          <w:lang w:val="en-US" w:eastAsia="zh-CN"/>
        </w:rPr>
        <w:t xml:space="preserve"> </w:t>
      </w:r>
      <w:r>
        <w:rPr>
          <w:rFonts w:hint="eastAsia"/>
          <w:b/>
          <w:sz w:val="44"/>
          <w:szCs w:val="44"/>
        </w:rPr>
        <w:t>请</w:t>
      </w:r>
      <w:r>
        <w:rPr>
          <w:rFonts w:hint="eastAsia"/>
          <w:b/>
          <w:sz w:val="44"/>
          <w:szCs w:val="44"/>
          <w:lang w:val="en-US" w:eastAsia="zh-CN"/>
        </w:rPr>
        <w:t xml:space="preserve"> </w:t>
      </w:r>
      <w:r>
        <w:rPr>
          <w:rFonts w:hint="eastAsia"/>
          <w:b/>
          <w:sz w:val="44"/>
          <w:szCs w:val="44"/>
        </w:rPr>
        <w:t>函</w:t>
      </w:r>
      <w:bookmarkStart w:id="0" w:name="_Toc250713407"/>
      <w:bookmarkStart w:id="1" w:name="_Toc246990667"/>
      <w:bookmarkStart w:id="2" w:name="_Toc245114622"/>
      <w:bookmarkStart w:id="3" w:name="_Toc225914677"/>
      <w:bookmarkStart w:id="4" w:name="_Toc228590964"/>
      <w:bookmarkStart w:id="5" w:name="_Toc246990186"/>
    </w:p>
    <w:p>
      <w:pPr>
        <w:rPr>
          <w:rFonts w:hint="default" w:eastAsia="宋体"/>
          <w:sz w:val="28"/>
          <w:szCs w:val="28"/>
          <w:u w:val="single"/>
          <w:lang w:val="en-US" w:eastAsia="zh-CN"/>
        </w:rPr>
      </w:pPr>
      <w:r>
        <w:rPr>
          <w:rFonts w:hint="eastAsia"/>
          <w:sz w:val="28"/>
          <w:szCs w:val="28"/>
          <w:u w:val="single"/>
          <w:lang w:val="en-US" w:eastAsia="zh-CN"/>
        </w:rPr>
        <w:t xml:space="preserve">                         :</w:t>
      </w:r>
    </w:p>
    <w:p>
      <w:pPr>
        <w:spacing w:line="480" w:lineRule="auto"/>
        <w:ind w:firstLine="560" w:firstLineChars="200"/>
        <w:rPr>
          <w:sz w:val="28"/>
          <w:szCs w:val="28"/>
        </w:rPr>
      </w:pPr>
      <w:r>
        <w:rPr>
          <w:rFonts w:hint="eastAsia"/>
          <w:sz w:val="28"/>
          <w:szCs w:val="28"/>
        </w:rPr>
        <w:t>我司建设的纵二线连江境104国道陀市至南塘段改线工程A2标段，目前正在施工当中，需要进行</w:t>
      </w:r>
      <w:r>
        <w:rPr>
          <w:rFonts w:hint="eastAsia"/>
          <w:sz w:val="28"/>
          <w:szCs w:val="28"/>
          <w:lang w:eastAsia="zh-CN"/>
        </w:rPr>
        <w:t>绿化工程</w:t>
      </w:r>
      <w:r>
        <w:rPr>
          <w:rFonts w:hint="eastAsia"/>
          <w:sz w:val="28"/>
          <w:szCs w:val="28"/>
        </w:rPr>
        <w:t>施工。</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sz w:val="28"/>
          <w:szCs w:val="28"/>
        </w:rPr>
      </w:pPr>
      <w:r>
        <w:rPr>
          <w:rFonts w:hint="eastAsia"/>
          <w:sz w:val="28"/>
          <w:szCs w:val="28"/>
        </w:rPr>
        <w:t>完成期限为</w:t>
      </w:r>
      <w:r>
        <w:rPr>
          <w:rFonts w:hint="eastAsia"/>
          <w:sz w:val="28"/>
          <w:szCs w:val="28"/>
          <w:lang w:val="en-US" w:eastAsia="zh-CN"/>
        </w:rPr>
        <w:t>12个</w:t>
      </w:r>
      <w:r>
        <w:rPr>
          <w:rFonts w:hint="eastAsia"/>
          <w:sz w:val="28"/>
          <w:szCs w:val="28"/>
        </w:rPr>
        <w:t>月，相关费用采用</w:t>
      </w:r>
      <w:r>
        <w:rPr>
          <w:rFonts w:hint="eastAsia"/>
          <w:sz w:val="28"/>
          <w:szCs w:val="28"/>
          <w:lang w:val="en-US" w:eastAsia="zh-CN"/>
        </w:rPr>
        <w:t>不含税综合单价</w:t>
      </w:r>
      <w:r>
        <w:rPr>
          <w:rFonts w:hint="eastAsia"/>
          <w:sz w:val="28"/>
          <w:szCs w:val="28"/>
        </w:rPr>
        <w:t>，工程量按经项目部、监理、业主验收合格的实际完成工程量，选择报价最低者的单位为本项目的</w:t>
      </w:r>
      <w:r>
        <w:rPr>
          <w:rFonts w:hint="eastAsia"/>
          <w:sz w:val="28"/>
          <w:szCs w:val="28"/>
          <w:lang w:eastAsia="zh-CN"/>
        </w:rPr>
        <w:t>绿化工程</w:t>
      </w:r>
      <w:r>
        <w:rPr>
          <w:rFonts w:hint="eastAsia"/>
          <w:sz w:val="28"/>
          <w:szCs w:val="28"/>
        </w:rPr>
        <w:t>施工单位。最高限价为</w:t>
      </w:r>
      <w:r>
        <w:rPr>
          <w:rFonts w:hint="eastAsia"/>
          <w:sz w:val="28"/>
          <w:szCs w:val="28"/>
          <w:lang w:val="en-US" w:eastAsia="zh-CN"/>
        </w:rPr>
        <w:t>5216095</w:t>
      </w:r>
      <w:r>
        <w:rPr>
          <w:rFonts w:hint="eastAsia"/>
          <w:sz w:val="28"/>
          <w:szCs w:val="28"/>
        </w:rPr>
        <w:t>元，现诚邀贵单位参与报价，请贵单位携带经盖章并密封的报价函以及营业执照、资质证书的复印件（需盖公章），于</w:t>
      </w:r>
      <w:r>
        <w:rPr>
          <w:sz w:val="28"/>
          <w:szCs w:val="28"/>
        </w:rPr>
        <w:t>201</w:t>
      </w:r>
      <w:r>
        <w:rPr>
          <w:rFonts w:hint="eastAsia"/>
          <w:sz w:val="28"/>
          <w:szCs w:val="28"/>
        </w:rPr>
        <w:t>9年</w:t>
      </w:r>
      <w:r>
        <w:rPr>
          <w:rFonts w:hint="eastAsia"/>
          <w:sz w:val="28"/>
          <w:szCs w:val="28"/>
          <w:lang w:val="en-US" w:eastAsia="zh-CN"/>
        </w:rPr>
        <w:t>9</w:t>
      </w:r>
      <w:r>
        <w:rPr>
          <w:rFonts w:hint="eastAsia"/>
          <w:sz w:val="28"/>
          <w:szCs w:val="28"/>
        </w:rPr>
        <w:t>月</w:t>
      </w:r>
      <w:r>
        <w:rPr>
          <w:rFonts w:hint="eastAsia"/>
          <w:sz w:val="28"/>
          <w:szCs w:val="28"/>
          <w:lang w:val="en-US" w:eastAsia="zh-CN"/>
        </w:rPr>
        <w:t xml:space="preserve">  </w:t>
      </w:r>
      <w:r>
        <w:rPr>
          <w:rFonts w:hint="eastAsia"/>
          <w:sz w:val="28"/>
          <w:szCs w:val="28"/>
        </w:rPr>
        <w:t>日</w:t>
      </w:r>
      <w:r>
        <w:rPr>
          <w:sz w:val="28"/>
          <w:szCs w:val="28"/>
        </w:rPr>
        <w:t>1</w:t>
      </w:r>
      <w:r>
        <w:rPr>
          <w:rFonts w:hint="eastAsia"/>
          <w:sz w:val="28"/>
          <w:szCs w:val="28"/>
        </w:rPr>
        <w:t>7</w:t>
      </w:r>
      <w:r>
        <w:rPr>
          <w:sz w:val="28"/>
          <w:szCs w:val="28"/>
        </w:rPr>
        <w:t>:</w:t>
      </w:r>
      <w:r>
        <w:rPr>
          <w:rFonts w:hint="eastAsia"/>
          <w:sz w:val="28"/>
          <w:szCs w:val="28"/>
        </w:rPr>
        <w:t>0</w:t>
      </w:r>
      <w:r>
        <w:rPr>
          <w:sz w:val="28"/>
          <w:szCs w:val="28"/>
        </w:rPr>
        <w:t>0</w:t>
      </w:r>
      <w:r>
        <w:rPr>
          <w:rFonts w:hint="eastAsia"/>
          <w:sz w:val="28"/>
          <w:szCs w:val="28"/>
        </w:rPr>
        <w:t>点前送达我司工程管理部。</w:t>
      </w:r>
    </w:p>
    <w:p>
      <w:pPr>
        <w:spacing w:line="480" w:lineRule="auto"/>
        <w:ind w:firstLine="560" w:firstLineChars="200"/>
        <w:rPr>
          <w:sz w:val="28"/>
          <w:szCs w:val="28"/>
        </w:rPr>
      </w:pPr>
      <w:r>
        <w:rPr>
          <w:rFonts w:hint="eastAsia"/>
          <w:sz w:val="28"/>
          <w:szCs w:val="28"/>
        </w:rPr>
        <w:t>联系地址：泉州市丰泽街华大街道福建路港（集团）大厦六楼</w:t>
      </w:r>
    </w:p>
    <w:p>
      <w:pPr>
        <w:spacing w:line="480" w:lineRule="auto"/>
        <w:ind w:firstLine="560" w:firstLineChars="200"/>
        <w:rPr>
          <w:sz w:val="28"/>
          <w:szCs w:val="28"/>
        </w:rPr>
      </w:pPr>
      <w:r>
        <w:rPr>
          <w:rFonts w:hint="eastAsia"/>
          <w:sz w:val="28"/>
          <w:szCs w:val="28"/>
        </w:rPr>
        <w:t>联系人：游工</w:t>
      </w:r>
      <w:r>
        <w:rPr>
          <w:rFonts w:hint="eastAsia"/>
          <w:sz w:val="28"/>
          <w:szCs w:val="28"/>
          <w:lang w:val="en-US" w:eastAsia="zh-CN"/>
        </w:rPr>
        <w:t xml:space="preserve">   </w:t>
      </w:r>
      <w:r>
        <w:rPr>
          <w:rFonts w:hint="eastAsia"/>
          <w:sz w:val="28"/>
          <w:szCs w:val="28"/>
        </w:rPr>
        <w:t>雷工</w:t>
      </w:r>
      <w:r>
        <w:rPr>
          <w:rFonts w:hint="eastAsia"/>
          <w:sz w:val="28"/>
          <w:szCs w:val="28"/>
          <w:lang w:val="en-US" w:eastAsia="zh-CN"/>
        </w:rPr>
        <w:t xml:space="preserve">   </w:t>
      </w:r>
      <w:r>
        <w:rPr>
          <w:rFonts w:hint="eastAsia"/>
          <w:sz w:val="28"/>
          <w:szCs w:val="28"/>
        </w:rPr>
        <w:t xml:space="preserve">电话：15359980909 </w:t>
      </w:r>
      <w:r>
        <w:rPr>
          <w:rFonts w:hint="eastAsia"/>
          <w:sz w:val="28"/>
          <w:szCs w:val="28"/>
          <w:lang w:val="en-US" w:eastAsia="zh-CN"/>
        </w:rPr>
        <w:t xml:space="preserve">   </w:t>
      </w:r>
      <w:r>
        <w:rPr>
          <w:rFonts w:hint="eastAsia"/>
          <w:sz w:val="28"/>
          <w:szCs w:val="28"/>
        </w:rPr>
        <w:t>15359989218</w:t>
      </w:r>
    </w:p>
    <w:bookmarkEnd w:id="0"/>
    <w:bookmarkEnd w:id="1"/>
    <w:bookmarkEnd w:id="2"/>
    <w:bookmarkEnd w:id="3"/>
    <w:bookmarkEnd w:id="4"/>
    <w:bookmarkEnd w:id="5"/>
    <w:p>
      <w:pPr>
        <w:spacing w:line="480" w:lineRule="auto"/>
        <w:rPr>
          <w:sz w:val="28"/>
          <w:szCs w:val="28"/>
        </w:rPr>
      </w:pPr>
    </w:p>
    <w:p>
      <w:pPr>
        <w:pBdr>
          <w:bottom w:val="single" w:color="auto" w:sz="6" w:space="1"/>
        </w:pBdr>
        <w:spacing w:line="480" w:lineRule="auto"/>
        <w:ind w:firstLine="5040" w:firstLineChars="1800"/>
        <w:rPr>
          <w:sz w:val="28"/>
          <w:szCs w:val="28"/>
        </w:rPr>
      </w:pPr>
      <w:r>
        <w:rPr>
          <w:rFonts w:hint="eastAsia"/>
          <w:sz w:val="28"/>
          <w:szCs w:val="28"/>
        </w:rPr>
        <w:t>福建路港（集团）有限公司</w:t>
      </w:r>
    </w:p>
    <w:p>
      <w:pPr>
        <w:pBdr>
          <w:bottom w:val="single" w:color="auto" w:sz="6" w:space="1"/>
        </w:pBdr>
        <w:spacing w:line="480" w:lineRule="auto"/>
        <w:ind w:firstLine="5880" w:firstLineChars="2100"/>
        <w:rPr>
          <w:rFonts w:hint="eastAsia"/>
          <w:sz w:val="28"/>
          <w:szCs w:val="28"/>
        </w:rPr>
      </w:pPr>
      <w:r>
        <w:rPr>
          <w:sz w:val="28"/>
          <w:szCs w:val="28"/>
        </w:rPr>
        <w:t>201</w:t>
      </w:r>
      <w:r>
        <w:rPr>
          <w:rFonts w:hint="eastAsia"/>
          <w:sz w:val="28"/>
          <w:szCs w:val="28"/>
        </w:rPr>
        <w:t>9年</w:t>
      </w:r>
      <w:r>
        <w:rPr>
          <w:rFonts w:hint="eastAsia"/>
          <w:sz w:val="28"/>
          <w:szCs w:val="28"/>
          <w:lang w:val="en-US" w:eastAsia="zh-CN"/>
        </w:rPr>
        <w:t>9</w:t>
      </w:r>
      <w:r>
        <w:rPr>
          <w:rFonts w:hint="eastAsia"/>
          <w:sz w:val="28"/>
          <w:szCs w:val="28"/>
        </w:rPr>
        <w:t>月</w:t>
      </w:r>
      <w:r>
        <w:rPr>
          <w:rFonts w:hint="eastAsia"/>
          <w:sz w:val="28"/>
          <w:szCs w:val="28"/>
          <w:lang w:val="en-US" w:eastAsia="zh-CN"/>
        </w:rPr>
        <w:t xml:space="preserve">  </w:t>
      </w:r>
      <w:r>
        <w:rPr>
          <w:rFonts w:hint="eastAsia"/>
          <w:sz w:val="28"/>
          <w:szCs w:val="28"/>
        </w:rPr>
        <w:t>日</w:t>
      </w:r>
    </w:p>
    <w:p>
      <w:pPr>
        <w:pBdr>
          <w:bottom w:val="single" w:color="auto" w:sz="6" w:space="1"/>
        </w:pBdr>
        <w:spacing w:line="480" w:lineRule="auto"/>
        <w:ind w:firstLine="5880" w:firstLineChars="2100"/>
        <w:rPr>
          <w:rFonts w:hint="eastAsia"/>
          <w:sz w:val="28"/>
          <w:szCs w:val="28"/>
        </w:rPr>
      </w:pPr>
    </w:p>
    <w:p>
      <w:pPr>
        <w:rPr>
          <w:b/>
          <w:sz w:val="44"/>
          <w:szCs w:val="44"/>
        </w:rPr>
      </w:pPr>
    </w:p>
    <w:p>
      <w:pPr>
        <w:ind w:firstLine="3264" w:firstLineChars="739"/>
        <w:rPr>
          <w:b/>
          <w:sz w:val="44"/>
          <w:szCs w:val="44"/>
        </w:rPr>
      </w:pPr>
    </w:p>
    <w:p>
      <w:pPr>
        <w:ind w:firstLine="3264" w:firstLineChars="739"/>
        <w:rPr>
          <w:b/>
          <w:sz w:val="44"/>
          <w:szCs w:val="44"/>
        </w:rPr>
      </w:pPr>
    </w:p>
    <w:p>
      <w:pPr>
        <w:ind w:firstLine="3264" w:firstLineChars="739"/>
        <w:rPr>
          <w:b/>
          <w:sz w:val="44"/>
          <w:szCs w:val="44"/>
        </w:rPr>
      </w:pPr>
    </w:p>
    <w:p>
      <w:pPr>
        <w:ind w:firstLine="3264" w:firstLineChars="739"/>
        <w:rPr>
          <w:b/>
          <w:sz w:val="44"/>
          <w:szCs w:val="44"/>
        </w:rPr>
      </w:pPr>
    </w:p>
    <w:p>
      <w:pPr>
        <w:ind w:firstLine="3264" w:firstLineChars="739"/>
        <w:rPr>
          <w:b/>
          <w:sz w:val="44"/>
          <w:szCs w:val="44"/>
        </w:rPr>
      </w:pPr>
    </w:p>
    <w:p>
      <w:pPr>
        <w:ind w:firstLine="3264" w:firstLineChars="739"/>
        <w:rPr>
          <w:b/>
          <w:sz w:val="44"/>
          <w:szCs w:val="44"/>
        </w:rPr>
      </w:pPr>
    </w:p>
    <w:p>
      <w:pPr>
        <w:rPr>
          <w:b/>
          <w:sz w:val="44"/>
          <w:szCs w:val="44"/>
        </w:rPr>
      </w:pPr>
    </w:p>
    <w:p>
      <w:pPr>
        <w:ind w:firstLine="3264" w:firstLineChars="739"/>
        <w:rPr>
          <w:b/>
          <w:sz w:val="44"/>
          <w:szCs w:val="44"/>
        </w:rPr>
      </w:pPr>
      <w:r>
        <w:rPr>
          <w:rFonts w:hint="eastAsia"/>
          <w:b/>
          <w:sz w:val="44"/>
          <w:szCs w:val="44"/>
        </w:rPr>
        <w:t>报</w:t>
      </w:r>
      <w:r>
        <w:rPr>
          <w:rFonts w:hint="eastAsia"/>
          <w:b/>
          <w:sz w:val="44"/>
          <w:szCs w:val="44"/>
          <w:lang w:val="en-US" w:eastAsia="zh-CN"/>
        </w:rPr>
        <w:t xml:space="preserve"> </w:t>
      </w:r>
      <w:r>
        <w:rPr>
          <w:rFonts w:hint="eastAsia"/>
          <w:b/>
          <w:sz w:val="44"/>
          <w:szCs w:val="44"/>
        </w:rPr>
        <w:t>价</w:t>
      </w:r>
      <w:r>
        <w:rPr>
          <w:rFonts w:hint="eastAsia"/>
          <w:b/>
          <w:sz w:val="44"/>
          <w:szCs w:val="44"/>
          <w:lang w:val="en-US" w:eastAsia="zh-CN"/>
        </w:rPr>
        <w:t xml:space="preserve"> </w:t>
      </w:r>
      <w:r>
        <w:rPr>
          <w:rFonts w:hint="eastAsia"/>
          <w:b/>
          <w:sz w:val="44"/>
          <w:szCs w:val="44"/>
        </w:rPr>
        <w:t>函</w:t>
      </w:r>
    </w:p>
    <w:p>
      <w:pPr>
        <w:spacing w:line="480" w:lineRule="auto"/>
        <w:rPr>
          <w:sz w:val="24"/>
        </w:rPr>
      </w:pPr>
    </w:p>
    <w:p>
      <w:pPr>
        <w:spacing w:line="480" w:lineRule="auto"/>
        <w:rPr>
          <w:sz w:val="28"/>
          <w:szCs w:val="28"/>
        </w:rPr>
      </w:pPr>
      <w:r>
        <w:rPr>
          <w:rFonts w:hint="eastAsia"/>
          <w:sz w:val="28"/>
          <w:szCs w:val="28"/>
        </w:rPr>
        <w:t>福建路港（集团）有限公司：</w:t>
      </w:r>
    </w:p>
    <w:p>
      <w:pPr>
        <w:spacing w:line="480" w:lineRule="auto"/>
        <w:ind w:firstLine="560" w:firstLineChars="200"/>
        <w:rPr>
          <w:sz w:val="28"/>
          <w:szCs w:val="28"/>
        </w:rPr>
      </w:pPr>
      <w:r>
        <w:rPr>
          <w:rFonts w:hint="eastAsia"/>
          <w:sz w:val="28"/>
          <w:szCs w:val="28"/>
        </w:rPr>
        <w:t>我司在</w:t>
      </w:r>
      <w:r>
        <w:rPr>
          <w:sz w:val="28"/>
          <w:szCs w:val="28"/>
        </w:rPr>
        <w:t>201</w:t>
      </w:r>
      <w:r>
        <w:rPr>
          <w:rFonts w:hint="eastAsia"/>
          <w:sz w:val="28"/>
          <w:szCs w:val="28"/>
        </w:rPr>
        <w:t>9年</w:t>
      </w:r>
      <w:r>
        <w:rPr>
          <w:rFonts w:hint="eastAsia"/>
          <w:sz w:val="28"/>
          <w:szCs w:val="28"/>
          <w:lang w:val="en-US" w:eastAsia="zh-CN"/>
        </w:rPr>
        <w:t xml:space="preserve">9  </w:t>
      </w:r>
      <w:r>
        <w:rPr>
          <w:rFonts w:hint="eastAsia"/>
          <w:sz w:val="28"/>
          <w:szCs w:val="28"/>
        </w:rPr>
        <w:t>月</w:t>
      </w:r>
      <w:r>
        <w:rPr>
          <w:rFonts w:hint="eastAsia"/>
          <w:sz w:val="28"/>
          <w:szCs w:val="28"/>
          <w:lang w:val="en-US" w:eastAsia="zh-CN"/>
        </w:rPr>
        <w:t xml:space="preserve">  </w:t>
      </w:r>
      <w:r>
        <w:rPr>
          <w:rFonts w:hint="eastAsia"/>
          <w:sz w:val="28"/>
          <w:szCs w:val="28"/>
        </w:rPr>
        <w:t>日接到贵公司关于纵二线连江境104国道陀市至南塘段改线工程A2标段</w:t>
      </w:r>
      <w:r>
        <w:rPr>
          <w:rFonts w:hint="eastAsia"/>
          <w:sz w:val="28"/>
          <w:szCs w:val="28"/>
          <w:lang w:eastAsia="zh-CN"/>
        </w:rPr>
        <w:t>绿化工程</w:t>
      </w:r>
      <w:r>
        <w:rPr>
          <w:rFonts w:hint="eastAsia"/>
          <w:sz w:val="28"/>
          <w:szCs w:val="28"/>
        </w:rPr>
        <w:t>工作任务的邀请询价函，我司具备</w:t>
      </w:r>
      <w:r>
        <w:rPr>
          <w:rFonts w:hint="eastAsia"/>
          <w:sz w:val="28"/>
          <w:szCs w:val="28"/>
          <w:lang w:eastAsia="zh-CN"/>
        </w:rPr>
        <w:t>绿化工程</w:t>
      </w:r>
      <w:r>
        <w:rPr>
          <w:rFonts w:hint="eastAsia"/>
          <w:sz w:val="28"/>
          <w:szCs w:val="28"/>
        </w:rPr>
        <w:t>施工能力，愿意承担该项目</w:t>
      </w:r>
      <w:r>
        <w:rPr>
          <w:rFonts w:hint="eastAsia"/>
          <w:sz w:val="28"/>
          <w:szCs w:val="28"/>
          <w:lang w:eastAsia="zh-CN"/>
        </w:rPr>
        <w:t>绿化工程</w:t>
      </w:r>
      <w:r>
        <w:rPr>
          <w:rFonts w:hint="eastAsia"/>
          <w:sz w:val="28"/>
          <w:szCs w:val="28"/>
        </w:rPr>
        <w:t>的工作，并承诺能按照有关法律法规、技术规程和规范要求，进度、质量、安全符合要求。承诺合同签订后</w:t>
      </w:r>
      <w:r>
        <w:rPr>
          <w:rFonts w:hint="eastAsia"/>
          <w:sz w:val="28"/>
          <w:szCs w:val="28"/>
          <w:u w:val="single"/>
          <w:lang w:val="en-US" w:eastAsia="zh-CN"/>
        </w:rPr>
        <w:t xml:space="preserve">    </w:t>
      </w:r>
      <w:r>
        <w:rPr>
          <w:rFonts w:hint="eastAsia"/>
          <w:sz w:val="28"/>
          <w:szCs w:val="28"/>
        </w:rPr>
        <w:t>月内完成相关工作任务。</w:t>
      </w:r>
    </w:p>
    <w:p>
      <w:pPr>
        <w:numPr>
          <w:ilvl w:val="0"/>
          <w:numId w:val="0"/>
        </w:numPr>
        <w:spacing w:line="480" w:lineRule="auto"/>
        <w:ind w:leftChars="-800"/>
        <w:rPr>
          <w:sz w:val="28"/>
          <w:szCs w:val="28"/>
        </w:rPr>
      </w:pPr>
    </w:p>
    <w:p>
      <w:pPr>
        <w:numPr>
          <w:ilvl w:val="0"/>
          <w:numId w:val="2"/>
        </w:numPr>
        <w:spacing w:line="480" w:lineRule="auto"/>
        <w:ind w:left="2240" w:hanging="2240" w:hangingChars="800"/>
        <w:rPr>
          <w:sz w:val="28"/>
          <w:szCs w:val="28"/>
        </w:rPr>
      </w:pPr>
      <w:r>
        <w:rPr>
          <w:rFonts w:hint="eastAsia"/>
          <w:sz w:val="28"/>
          <w:szCs w:val="28"/>
          <w:lang w:val="en-US" w:eastAsia="zh-CN"/>
        </w:rPr>
        <w:t>绿化工程总价</w:t>
      </w:r>
      <w:r>
        <w:rPr>
          <w:rFonts w:hint="eastAsia"/>
          <w:sz w:val="28"/>
          <w:szCs w:val="28"/>
          <w:u w:val="single"/>
          <w:lang w:val="en-US" w:eastAsia="zh-CN"/>
        </w:rPr>
        <w:t xml:space="preserve">：                   </w:t>
      </w:r>
      <w:r>
        <w:rPr>
          <w:rFonts w:hint="eastAsia"/>
          <w:sz w:val="28"/>
          <w:szCs w:val="28"/>
          <w:lang w:val="en-US" w:eastAsia="zh-CN"/>
        </w:rPr>
        <w:t>元。（小写</w:t>
      </w:r>
      <w:r>
        <w:rPr>
          <w:rFonts w:hint="eastAsia"/>
          <w:sz w:val="28"/>
          <w:szCs w:val="28"/>
          <w:u w:val="single"/>
          <w:lang w:val="en-US" w:eastAsia="zh-CN"/>
        </w:rPr>
        <w:t xml:space="preserve">         </w:t>
      </w:r>
      <w:r>
        <w:rPr>
          <w:rFonts w:hint="eastAsia"/>
          <w:sz w:val="28"/>
          <w:szCs w:val="28"/>
          <w:lang w:val="en-US" w:eastAsia="zh-CN"/>
        </w:rPr>
        <w:t>元）（不含税）</w:t>
      </w:r>
    </w:p>
    <w:p>
      <w:pPr>
        <w:spacing w:line="480" w:lineRule="auto"/>
        <w:ind w:left="-1680" w:leftChars="-800"/>
        <w:rPr>
          <w:rFonts w:hint="default" w:eastAsia="宋体"/>
          <w:sz w:val="28"/>
          <w:szCs w:val="28"/>
          <w:lang w:val="en-US" w:eastAsia="zh-CN"/>
        </w:rPr>
      </w:pPr>
      <w:r>
        <w:rPr>
          <w:rFonts w:hint="eastAsia"/>
          <w:sz w:val="28"/>
          <w:szCs w:val="28"/>
          <w:lang w:val="en-US" w:eastAsia="zh-CN"/>
        </w:rPr>
        <w:t>具            具体报价见报价清单。</w:t>
      </w:r>
    </w:p>
    <w:p>
      <w:pPr>
        <w:spacing w:line="480" w:lineRule="auto"/>
        <w:rPr>
          <w:sz w:val="28"/>
          <w:szCs w:val="28"/>
        </w:rPr>
      </w:pPr>
    </w:p>
    <w:p>
      <w:pPr>
        <w:spacing w:line="480" w:lineRule="auto"/>
        <w:ind w:firstLine="560" w:firstLineChars="200"/>
        <w:rPr>
          <w:sz w:val="28"/>
          <w:szCs w:val="28"/>
        </w:rPr>
      </w:pPr>
      <w:r>
        <w:rPr>
          <w:rFonts w:hint="eastAsia"/>
          <w:sz w:val="28"/>
          <w:szCs w:val="28"/>
        </w:rPr>
        <w:t>联系人：</w:t>
      </w:r>
      <w:r>
        <w:rPr>
          <w:rFonts w:hint="eastAsia"/>
          <w:sz w:val="28"/>
          <w:szCs w:val="28"/>
          <w:lang w:val="en-US" w:eastAsia="zh-CN"/>
        </w:rPr>
        <w:t xml:space="preserve">                    </w:t>
      </w:r>
      <w:r>
        <w:rPr>
          <w:rFonts w:hint="eastAsia"/>
          <w:sz w:val="28"/>
          <w:szCs w:val="28"/>
        </w:rPr>
        <w:t>联系电话：</w:t>
      </w:r>
    </w:p>
    <w:p>
      <w:pPr>
        <w:spacing w:line="480" w:lineRule="auto"/>
        <w:ind w:firstLine="1400" w:firstLineChars="500"/>
        <w:rPr>
          <w:rFonts w:hint="eastAsia"/>
          <w:sz w:val="28"/>
          <w:szCs w:val="28"/>
        </w:rPr>
      </w:pPr>
    </w:p>
    <w:p>
      <w:pPr>
        <w:spacing w:line="480" w:lineRule="auto"/>
        <w:ind w:firstLine="2520" w:firstLineChars="900"/>
        <w:rPr>
          <w:sz w:val="28"/>
          <w:szCs w:val="28"/>
        </w:rPr>
      </w:pPr>
      <w:r>
        <w:rPr>
          <w:rFonts w:hint="eastAsia"/>
          <w:sz w:val="28"/>
          <w:szCs w:val="28"/>
        </w:rPr>
        <w:t>（单位盖章）</w:t>
      </w:r>
    </w:p>
    <w:p>
      <w:pPr>
        <w:ind w:firstLine="2800" w:firstLineChars="1000"/>
        <w:jc w:val="left"/>
        <w:rPr>
          <w:rFonts w:hint="eastAsia"/>
          <w:kern w:val="0"/>
          <w:sz w:val="28"/>
          <w:szCs w:val="28"/>
        </w:rPr>
      </w:pPr>
      <w:r>
        <w:rPr>
          <w:kern w:val="0"/>
          <w:sz w:val="28"/>
          <w:szCs w:val="28"/>
        </w:rPr>
        <w:t>201</w:t>
      </w:r>
      <w:r>
        <w:rPr>
          <w:rFonts w:hint="eastAsia"/>
          <w:kern w:val="0"/>
          <w:sz w:val="28"/>
          <w:szCs w:val="28"/>
        </w:rPr>
        <w:t>9年</w:t>
      </w:r>
      <w:r>
        <w:rPr>
          <w:rFonts w:hint="eastAsia"/>
          <w:kern w:val="0"/>
          <w:sz w:val="28"/>
          <w:szCs w:val="28"/>
          <w:lang w:val="en-US" w:eastAsia="zh-CN"/>
        </w:rPr>
        <w:t>9</w:t>
      </w:r>
      <w:r>
        <w:rPr>
          <w:rFonts w:hint="eastAsia"/>
          <w:kern w:val="0"/>
          <w:sz w:val="28"/>
          <w:szCs w:val="28"/>
        </w:rPr>
        <w:t>月</w:t>
      </w:r>
      <w:r>
        <w:rPr>
          <w:rFonts w:hint="eastAsia"/>
          <w:kern w:val="0"/>
          <w:sz w:val="28"/>
          <w:szCs w:val="28"/>
          <w:lang w:val="en-US" w:eastAsia="zh-CN"/>
        </w:rPr>
        <w:t xml:space="preserve">  </w:t>
      </w:r>
      <w:r>
        <w:rPr>
          <w:rFonts w:hint="eastAsia"/>
          <w:kern w:val="0"/>
          <w:sz w:val="28"/>
          <w:szCs w:val="28"/>
        </w:rPr>
        <w:t>日</w:t>
      </w:r>
    </w:p>
    <w:p>
      <w:pPr>
        <w:jc w:val="left"/>
        <w:rPr>
          <w:rFonts w:hint="eastAsia"/>
          <w:kern w:val="0"/>
          <w:sz w:val="28"/>
          <w:szCs w:val="28"/>
        </w:rPr>
      </w:pPr>
    </w:p>
    <w:p>
      <w:pPr>
        <w:jc w:val="left"/>
        <w:rPr>
          <w:rFonts w:hint="eastAsia"/>
          <w:kern w:val="0"/>
          <w:sz w:val="28"/>
          <w:szCs w:val="28"/>
        </w:rPr>
      </w:pPr>
    </w:p>
    <w:p>
      <w:pPr>
        <w:jc w:val="left"/>
        <w:rPr>
          <w:rFonts w:hint="eastAsia"/>
          <w:kern w:val="0"/>
          <w:sz w:val="28"/>
          <w:szCs w:val="28"/>
        </w:rPr>
      </w:pPr>
    </w:p>
    <w:p>
      <w:pPr>
        <w:jc w:val="left"/>
        <w:rPr>
          <w:rFonts w:hint="eastAsia"/>
          <w:kern w:val="0"/>
          <w:sz w:val="28"/>
          <w:szCs w:val="28"/>
        </w:rPr>
      </w:pPr>
    </w:p>
    <w:p>
      <w:pPr>
        <w:jc w:val="both"/>
        <w:rPr>
          <w:b/>
          <w:sz w:val="30"/>
          <w:szCs w:val="30"/>
        </w:rPr>
      </w:pPr>
    </w:p>
    <w:p>
      <w:pPr>
        <w:jc w:val="both"/>
        <w:rPr>
          <w:rFonts w:hint="eastAsia"/>
          <w:b/>
          <w:sz w:val="30"/>
          <w:szCs w:val="30"/>
        </w:rPr>
      </w:pPr>
    </w:p>
    <w:p>
      <w:pPr>
        <w:jc w:val="both"/>
        <w:rPr>
          <w:rFonts w:hint="eastAsia"/>
          <w:b/>
          <w:sz w:val="30"/>
          <w:szCs w:val="30"/>
        </w:rPr>
      </w:pPr>
    </w:p>
    <w:p>
      <w:pPr>
        <w:jc w:val="center"/>
        <w:rPr>
          <w:b/>
          <w:sz w:val="30"/>
          <w:szCs w:val="30"/>
        </w:rPr>
      </w:pPr>
      <w:r>
        <w:rPr>
          <w:rFonts w:hint="eastAsia"/>
          <w:b/>
          <w:sz w:val="30"/>
          <w:szCs w:val="30"/>
        </w:rPr>
        <w:t>报价清单</w:t>
      </w:r>
    </w:p>
    <w:p>
      <w:pPr>
        <w:spacing w:line="360" w:lineRule="auto"/>
        <w:rPr>
          <w:rFonts w:hint="eastAsia" w:eastAsia="宋体"/>
          <w:sz w:val="24"/>
          <w:lang w:eastAsia="zh-CN"/>
        </w:rPr>
      </w:pPr>
      <w:r>
        <w:rPr>
          <w:rFonts w:hint="eastAsia"/>
          <w:sz w:val="28"/>
          <w:szCs w:val="28"/>
        </w:rPr>
        <w:t>报价单位：</w:t>
      </w:r>
      <w:r>
        <w:rPr>
          <w:rFonts w:hint="eastAsia"/>
          <w:sz w:val="28"/>
          <w:szCs w:val="28"/>
          <w:u w:val="single"/>
        </w:rPr>
        <w:t>（盖章）</w:t>
      </w:r>
    </w:p>
    <w:tbl>
      <w:tblPr>
        <w:tblStyle w:val="9"/>
        <w:tblpPr w:leftFromText="180" w:rightFromText="180" w:vertAnchor="text" w:horzAnchor="page" w:tblpX="1317" w:tblpY="134"/>
        <w:tblOverlap w:val="never"/>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807"/>
        <w:gridCol w:w="1272"/>
        <w:gridCol w:w="716"/>
        <w:gridCol w:w="942"/>
        <w:gridCol w:w="1390"/>
        <w:gridCol w:w="1047"/>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rPr>
                <w:kern w:val="2"/>
              </w:rPr>
            </w:pPr>
            <w:r>
              <w:rPr>
                <w:rFonts w:hint="eastAsia"/>
                <w:kern w:val="2"/>
              </w:rPr>
              <w:t>序号</w:t>
            </w:r>
          </w:p>
        </w:tc>
        <w:tc>
          <w:tcPr>
            <w:tcW w:w="2807" w:type="dxa"/>
            <w:tcBorders>
              <w:top w:val="single" w:color="auto" w:sz="4" w:space="0"/>
              <w:left w:val="single" w:color="auto" w:sz="4" w:space="0"/>
              <w:bottom w:val="single" w:color="auto" w:sz="4" w:space="0"/>
              <w:right w:val="single" w:color="auto" w:sz="4" w:space="0"/>
            </w:tcBorders>
            <w:vAlign w:val="center"/>
          </w:tcPr>
          <w:p>
            <w:pPr>
              <w:pStyle w:val="15"/>
              <w:rPr>
                <w:kern w:val="2"/>
              </w:rPr>
            </w:pPr>
            <w:r>
              <w:rPr>
                <w:rFonts w:hint="eastAsia"/>
                <w:kern w:val="2"/>
              </w:rPr>
              <w:t>项目</w:t>
            </w:r>
          </w:p>
        </w:tc>
        <w:tc>
          <w:tcPr>
            <w:tcW w:w="1272" w:type="dxa"/>
            <w:tcBorders>
              <w:top w:val="single" w:color="auto" w:sz="4" w:space="0"/>
              <w:left w:val="single" w:color="auto" w:sz="4" w:space="0"/>
              <w:bottom w:val="single" w:color="auto" w:sz="4" w:space="0"/>
              <w:right w:val="single" w:color="auto" w:sz="4" w:space="0"/>
            </w:tcBorders>
            <w:vAlign w:val="center"/>
          </w:tcPr>
          <w:p>
            <w:pPr>
              <w:pStyle w:val="15"/>
              <w:rPr>
                <w:kern w:val="2"/>
              </w:rPr>
            </w:pPr>
            <w:r>
              <w:rPr>
                <w:rFonts w:hint="eastAsia"/>
                <w:kern w:val="2"/>
              </w:rPr>
              <w:t>内容</w:t>
            </w:r>
          </w:p>
        </w:tc>
        <w:tc>
          <w:tcPr>
            <w:tcW w:w="716" w:type="dxa"/>
            <w:tcBorders>
              <w:top w:val="single" w:color="auto" w:sz="4" w:space="0"/>
              <w:left w:val="single" w:color="auto" w:sz="4" w:space="0"/>
              <w:bottom w:val="single" w:color="auto" w:sz="4" w:space="0"/>
              <w:right w:val="single" w:color="auto" w:sz="4" w:space="0"/>
            </w:tcBorders>
            <w:vAlign w:val="center"/>
          </w:tcPr>
          <w:p>
            <w:pPr>
              <w:pStyle w:val="15"/>
              <w:rPr>
                <w:kern w:val="2"/>
              </w:rPr>
            </w:pPr>
            <w:r>
              <w:rPr>
                <w:rFonts w:hint="eastAsia"/>
                <w:kern w:val="2"/>
              </w:rPr>
              <w:t>单位</w:t>
            </w:r>
          </w:p>
        </w:tc>
        <w:tc>
          <w:tcPr>
            <w:tcW w:w="942" w:type="dxa"/>
            <w:tcBorders>
              <w:top w:val="single" w:color="auto" w:sz="4" w:space="0"/>
              <w:left w:val="single" w:color="auto" w:sz="4" w:space="0"/>
              <w:bottom w:val="single" w:color="auto" w:sz="4" w:space="0"/>
              <w:right w:val="single" w:color="auto" w:sz="4" w:space="0"/>
            </w:tcBorders>
            <w:vAlign w:val="center"/>
          </w:tcPr>
          <w:p>
            <w:pPr>
              <w:pStyle w:val="15"/>
              <w:rPr>
                <w:kern w:val="2"/>
              </w:rPr>
            </w:pPr>
            <w:r>
              <w:rPr>
                <w:rFonts w:hint="eastAsia"/>
                <w:kern w:val="2"/>
              </w:rPr>
              <w:t>计划工作量</w:t>
            </w:r>
          </w:p>
        </w:tc>
        <w:tc>
          <w:tcPr>
            <w:tcW w:w="1390" w:type="dxa"/>
            <w:tcBorders>
              <w:top w:val="single" w:color="auto" w:sz="4" w:space="0"/>
              <w:left w:val="single" w:color="auto" w:sz="4" w:space="0"/>
              <w:bottom w:val="single" w:color="auto" w:sz="4" w:space="0"/>
              <w:right w:val="single" w:color="auto" w:sz="4" w:space="0"/>
            </w:tcBorders>
            <w:vAlign w:val="center"/>
          </w:tcPr>
          <w:p>
            <w:pPr>
              <w:pStyle w:val="15"/>
              <w:rPr>
                <w:kern w:val="2"/>
              </w:rPr>
            </w:pPr>
            <w:r>
              <w:rPr>
                <w:rFonts w:hint="eastAsia"/>
                <w:kern w:val="2"/>
              </w:rPr>
              <w:t>单价（元）</w:t>
            </w:r>
          </w:p>
        </w:tc>
        <w:tc>
          <w:tcPr>
            <w:tcW w:w="1047" w:type="dxa"/>
            <w:tcBorders>
              <w:top w:val="single" w:color="auto" w:sz="4" w:space="0"/>
              <w:left w:val="single" w:color="auto" w:sz="4" w:space="0"/>
              <w:bottom w:val="single" w:color="auto" w:sz="4" w:space="0"/>
              <w:right w:val="single" w:color="auto" w:sz="4" w:space="0"/>
            </w:tcBorders>
            <w:vAlign w:val="center"/>
          </w:tcPr>
          <w:p>
            <w:r>
              <w:rPr>
                <w:rFonts w:hint="eastAsia"/>
              </w:rPr>
              <w:t>合价(元)</w:t>
            </w:r>
          </w:p>
        </w:tc>
        <w:tc>
          <w:tcPr>
            <w:tcW w:w="1294" w:type="dxa"/>
            <w:tcBorders>
              <w:top w:val="single" w:color="auto" w:sz="4" w:space="0"/>
              <w:left w:val="single" w:color="auto" w:sz="4" w:space="0"/>
              <w:bottom w:val="single" w:color="auto" w:sz="4" w:space="0"/>
              <w:right w:val="single" w:color="auto" w:sz="4" w:space="0"/>
            </w:tcBorders>
            <w:vAlign w:val="center"/>
          </w:tcPr>
          <w:p>
            <w:pPr>
              <w:pStyle w:val="15"/>
              <w:rPr>
                <w:kern w:val="2"/>
              </w:rPr>
            </w:pPr>
            <w:r>
              <w:rPr>
                <w:rFonts w:hint="eastAsia"/>
                <w:kern w:val="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1</w:t>
            </w:r>
          </w:p>
        </w:tc>
        <w:tc>
          <w:tcPr>
            <w:tcW w:w="4079" w:type="dxa"/>
            <w:gridSpan w:val="2"/>
            <w:tcBorders>
              <w:top w:val="single" w:color="auto" w:sz="4" w:space="0"/>
              <w:left w:val="single" w:color="auto" w:sz="4" w:space="0"/>
              <w:right w:val="single" w:color="auto" w:sz="4" w:space="0"/>
            </w:tcBorders>
            <w:vAlign w:val="center"/>
          </w:tcPr>
          <w:p>
            <w:pPr>
              <w:pStyle w:val="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喷播草籽防护（土工布、土工膜包含于单价中，不另计）</w:t>
            </w:r>
          </w:p>
        </w:tc>
        <w:tc>
          <w:tcPr>
            <w:tcW w:w="716" w:type="dxa"/>
            <w:tcBorders>
              <w:top w:val="single" w:color="auto" w:sz="4" w:space="0"/>
              <w:left w:val="single" w:color="auto" w:sz="4" w:space="0"/>
              <w:bottom w:val="single" w:color="auto" w:sz="4" w:space="0"/>
              <w:right w:val="single" w:color="auto" w:sz="4" w:space="0"/>
            </w:tcBorders>
            <w:vAlign w:val="center"/>
          </w:tcPr>
          <w:p>
            <w:pPr>
              <w:pStyle w:val="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m</w:t>
            </w:r>
            <w:r>
              <w:rPr>
                <w:rFonts w:hint="eastAsia" w:asciiTheme="minorEastAsia" w:hAnsiTheme="minorEastAsia" w:eastAsiaTheme="minorEastAsia" w:cstheme="minorEastAsia"/>
                <w:sz w:val="24"/>
                <w:szCs w:val="24"/>
                <w:vertAlign w:val="superscript"/>
              </w:rPr>
              <w:t>2</w:t>
            </w:r>
          </w:p>
        </w:tc>
        <w:tc>
          <w:tcPr>
            <w:tcW w:w="942" w:type="dxa"/>
            <w:tcBorders>
              <w:top w:val="single" w:color="auto" w:sz="4" w:space="0"/>
              <w:left w:val="single" w:color="auto" w:sz="4" w:space="0"/>
              <w:bottom w:val="single" w:color="auto" w:sz="4" w:space="0"/>
              <w:right w:val="single" w:color="auto" w:sz="4" w:space="0"/>
            </w:tcBorders>
            <w:vAlign w:val="center"/>
          </w:tcPr>
          <w:p>
            <w:pPr>
              <w:pStyle w:val="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18"/>
                <w:szCs w:val="18"/>
              </w:rPr>
              <w:t>116378.6</w:t>
            </w:r>
          </w:p>
        </w:tc>
        <w:tc>
          <w:tcPr>
            <w:tcW w:w="1390" w:type="dxa"/>
            <w:tcBorders>
              <w:top w:val="single" w:color="auto" w:sz="4" w:space="0"/>
              <w:left w:val="single" w:color="auto" w:sz="4" w:space="0"/>
              <w:bottom w:val="single" w:color="auto" w:sz="4" w:space="0"/>
              <w:right w:val="single" w:color="auto" w:sz="4" w:space="0"/>
            </w:tcBorders>
          </w:tcPr>
          <w:p>
            <w:pPr>
              <w:pStyle w:val="15"/>
              <w:rPr>
                <w:kern w:val="2"/>
                <w:sz w:val="24"/>
                <w:szCs w:val="24"/>
              </w:rPr>
            </w:pPr>
          </w:p>
        </w:tc>
        <w:tc>
          <w:tcPr>
            <w:tcW w:w="1047" w:type="dxa"/>
            <w:tcBorders>
              <w:top w:val="single" w:color="auto" w:sz="4" w:space="0"/>
              <w:left w:val="single" w:color="auto" w:sz="4" w:space="0"/>
              <w:bottom w:val="single" w:color="auto" w:sz="4" w:space="0"/>
              <w:right w:val="single" w:color="auto" w:sz="4" w:space="0"/>
            </w:tcBorders>
          </w:tcPr>
          <w:p>
            <w:pPr>
              <w:pStyle w:val="15"/>
              <w:ind w:right="-6" w:rightChars="-3"/>
              <w:rPr>
                <w:kern w:val="2"/>
                <w:sz w:val="24"/>
                <w:szCs w:val="24"/>
              </w:rPr>
            </w:pPr>
          </w:p>
        </w:tc>
        <w:tc>
          <w:tcPr>
            <w:tcW w:w="1294" w:type="dxa"/>
            <w:tcBorders>
              <w:top w:val="single" w:color="auto" w:sz="4" w:space="0"/>
              <w:left w:val="single" w:color="auto" w:sz="4" w:space="0"/>
              <w:bottom w:val="single" w:color="auto" w:sz="4" w:space="0"/>
              <w:right w:val="single" w:color="auto" w:sz="4" w:space="0"/>
            </w:tcBorders>
            <w:vAlign w:val="center"/>
          </w:tcPr>
          <w:p>
            <w:pPr>
              <w:pStyle w:val="15"/>
              <w:jc w:val="both"/>
              <w:rPr>
                <w:rFonts w:hint="eastAsia" w:eastAsia="宋体"/>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2</w:t>
            </w:r>
          </w:p>
        </w:tc>
        <w:tc>
          <w:tcPr>
            <w:tcW w:w="4079" w:type="dxa"/>
            <w:gridSpan w:val="2"/>
            <w:tcBorders>
              <w:top w:val="single" w:color="auto" w:sz="4" w:space="0"/>
              <w:left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客土喷播护坡（土工布包含于单价中，不另计）客土喷播草籽（2cm厚）</w:t>
            </w:r>
          </w:p>
          <w:p>
            <w:pPr>
              <w:pStyle w:val="15"/>
              <w:jc w:val="center"/>
              <w:rPr>
                <w:rFonts w:asciiTheme="minorEastAsia" w:hAnsiTheme="minorEastAsia" w:eastAsiaTheme="minorEastAsia" w:cstheme="minorEastAsia"/>
                <w:sz w:val="24"/>
                <w:szCs w:val="24"/>
              </w:rPr>
            </w:pPr>
          </w:p>
        </w:tc>
        <w:tc>
          <w:tcPr>
            <w:tcW w:w="7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m</w:t>
            </w:r>
            <w:r>
              <w:rPr>
                <w:rFonts w:hint="eastAsia" w:asciiTheme="minorEastAsia" w:hAnsiTheme="minorEastAsia" w:eastAsiaTheme="minorEastAsia" w:cstheme="minorEastAsia"/>
                <w:kern w:val="0"/>
                <w:sz w:val="24"/>
                <w:szCs w:val="24"/>
                <w:vertAlign w:val="superscript"/>
                <w:lang w:val="en-US" w:eastAsia="zh-CN" w:bidi="ar-SA"/>
              </w:rPr>
              <w:t>2</w:t>
            </w:r>
          </w:p>
          <w:p>
            <w:pPr>
              <w:pStyle w:val="15"/>
              <w:jc w:val="center"/>
              <w:rPr>
                <w:rFonts w:asciiTheme="minorEastAsia" w:hAnsiTheme="minorEastAsia" w:eastAsiaTheme="minorEastAsia" w:cstheme="minorEastAsia"/>
                <w:sz w:val="24"/>
                <w:szCs w:val="24"/>
              </w:rPr>
            </w:pPr>
          </w:p>
        </w:tc>
        <w:tc>
          <w:tcPr>
            <w:tcW w:w="942" w:type="dxa"/>
            <w:tcBorders>
              <w:top w:val="single" w:color="auto" w:sz="4" w:space="0"/>
              <w:left w:val="single" w:color="auto" w:sz="4" w:space="0"/>
              <w:bottom w:val="single" w:color="auto" w:sz="4" w:space="0"/>
              <w:right w:val="single" w:color="auto" w:sz="4" w:space="0"/>
            </w:tcBorders>
            <w:vAlign w:val="center"/>
          </w:tcPr>
          <w:p>
            <w:pPr>
              <w:pStyle w:val="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18"/>
                <w:szCs w:val="18"/>
                <w:lang w:val="en-US" w:eastAsia="zh-CN" w:bidi="ar-SA"/>
              </w:rPr>
              <w:t>917.0</w:t>
            </w:r>
          </w:p>
        </w:tc>
        <w:tc>
          <w:tcPr>
            <w:tcW w:w="1390" w:type="dxa"/>
            <w:tcBorders>
              <w:top w:val="single" w:color="auto" w:sz="4" w:space="0"/>
              <w:left w:val="single" w:color="auto" w:sz="4" w:space="0"/>
              <w:bottom w:val="single" w:color="auto" w:sz="4" w:space="0"/>
              <w:right w:val="single" w:color="auto" w:sz="4" w:space="0"/>
            </w:tcBorders>
          </w:tcPr>
          <w:p>
            <w:pPr>
              <w:pStyle w:val="15"/>
              <w:rPr>
                <w:kern w:val="2"/>
                <w:sz w:val="24"/>
                <w:szCs w:val="24"/>
              </w:rPr>
            </w:pPr>
          </w:p>
        </w:tc>
        <w:tc>
          <w:tcPr>
            <w:tcW w:w="1047" w:type="dxa"/>
            <w:tcBorders>
              <w:top w:val="single" w:color="auto" w:sz="4" w:space="0"/>
              <w:left w:val="single" w:color="auto" w:sz="4" w:space="0"/>
              <w:bottom w:val="single" w:color="auto" w:sz="4" w:space="0"/>
              <w:right w:val="single" w:color="auto" w:sz="4" w:space="0"/>
            </w:tcBorders>
          </w:tcPr>
          <w:p>
            <w:pPr>
              <w:pStyle w:val="15"/>
              <w:ind w:right="-6" w:rightChars="-3"/>
              <w:rPr>
                <w:kern w:val="2"/>
                <w:sz w:val="24"/>
                <w:szCs w:val="24"/>
              </w:rPr>
            </w:pPr>
          </w:p>
        </w:tc>
        <w:tc>
          <w:tcPr>
            <w:tcW w:w="1294" w:type="dxa"/>
            <w:tcBorders>
              <w:top w:val="single" w:color="auto" w:sz="4" w:space="0"/>
              <w:left w:val="single" w:color="auto" w:sz="4" w:space="0"/>
              <w:bottom w:val="single" w:color="auto" w:sz="4" w:space="0"/>
              <w:right w:val="single" w:color="auto" w:sz="4" w:space="0"/>
            </w:tcBorders>
            <w:vAlign w:val="center"/>
          </w:tcPr>
          <w:p>
            <w:pPr>
              <w:pStyle w:val="15"/>
              <w:jc w:val="both"/>
              <w:rPr>
                <w:rFonts w:hint="eastAsia" w:eastAsia="宋体"/>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p>
        </w:tc>
        <w:tc>
          <w:tcPr>
            <w:tcW w:w="4079" w:type="dxa"/>
            <w:gridSpan w:val="2"/>
            <w:tcBorders>
              <w:top w:val="single" w:color="auto" w:sz="4" w:space="0"/>
              <w:left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客土喷播护坡（土工布包含于单价中，不另计）客土喷播草籽（4cm厚）</w:t>
            </w:r>
          </w:p>
          <w:p>
            <w:pPr>
              <w:pStyle w:val="15"/>
              <w:jc w:val="center"/>
              <w:rPr>
                <w:rFonts w:asciiTheme="minorEastAsia" w:hAnsiTheme="minorEastAsia" w:eastAsiaTheme="minorEastAsia" w:cstheme="minorEastAsia"/>
                <w:sz w:val="24"/>
                <w:szCs w:val="24"/>
              </w:rPr>
            </w:pPr>
          </w:p>
        </w:tc>
        <w:tc>
          <w:tcPr>
            <w:tcW w:w="716" w:type="dxa"/>
            <w:tcBorders>
              <w:top w:val="single" w:color="auto" w:sz="4" w:space="0"/>
              <w:left w:val="single" w:color="auto" w:sz="4" w:space="0"/>
              <w:bottom w:val="single" w:color="auto" w:sz="4" w:space="0"/>
              <w:right w:val="single" w:color="auto" w:sz="4" w:space="0"/>
            </w:tcBorders>
            <w:vAlign w:val="center"/>
          </w:tcPr>
          <w:p>
            <w:pPr>
              <w:pStyle w:val="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SA"/>
              </w:rPr>
              <w:t>m</w:t>
            </w:r>
            <w:r>
              <w:rPr>
                <w:rFonts w:hint="eastAsia" w:asciiTheme="minorEastAsia" w:hAnsiTheme="minorEastAsia" w:eastAsiaTheme="minorEastAsia" w:cstheme="minorEastAsia"/>
                <w:kern w:val="0"/>
                <w:sz w:val="24"/>
                <w:szCs w:val="24"/>
                <w:vertAlign w:val="superscript"/>
                <w:lang w:val="en-US" w:eastAsia="zh-CN" w:bidi="ar-SA"/>
              </w:rPr>
              <w:t>2</w:t>
            </w:r>
          </w:p>
        </w:tc>
        <w:tc>
          <w:tcPr>
            <w:tcW w:w="9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24148.1</w:t>
            </w:r>
          </w:p>
          <w:p>
            <w:pPr>
              <w:pStyle w:val="15"/>
              <w:jc w:val="center"/>
              <w:rPr>
                <w:rFonts w:asciiTheme="minorEastAsia" w:hAnsiTheme="minorEastAsia" w:eastAsiaTheme="minorEastAsia" w:cstheme="minorEastAsia"/>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5"/>
              <w:rPr>
                <w:kern w:val="2"/>
                <w:sz w:val="24"/>
                <w:szCs w:val="24"/>
              </w:rPr>
            </w:pPr>
          </w:p>
        </w:tc>
        <w:tc>
          <w:tcPr>
            <w:tcW w:w="1047" w:type="dxa"/>
            <w:tcBorders>
              <w:top w:val="single" w:color="auto" w:sz="4" w:space="0"/>
              <w:left w:val="single" w:color="auto" w:sz="4" w:space="0"/>
              <w:bottom w:val="single" w:color="auto" w:sz="4" w:space="0"/>
              <w:right w:val="single" w:color="auto" w:sz="4" w:space="0"/>
            </w:tcBorders>
          </w:tcPr>
          <w:p>
            <w:pPr>
              <w:pStyle w:val="15"/>
              <w:ind w:right="-6" w:rightChars="-3"/>
              <w:rPr>
                <w:kern w:val="2"/>
                <w:sz w:val="24"/>
                <w:szCs w:val="24"/>
              </w:rPr>
            </w:pPr>
          </w:p>
        </w:tc>
        <w:tc>
          <w:tcPr>
            <w:tcW w:w="1294" w:type="dxa"/>
            <w:tcBorders>
              <w:top w:val="single" w:color="auto" w:sz="4" w:space="0"/>
              <w:left w:val="single" w:color="auto" w:sz="4" w:space="0"/>
              <w:bottom w:val="single" w:color="auto" w:sz="4" w:space="0"/>
              <w:right w:val="single" w:color="auto" w:sz="4" w:space="0"/>
            </w:tcBorders>
            <w:vAlign w:val="center"/>
          </w:tcPr>
          <w:p>
            <w:pPr>
              <w:pStyle w:val="15"/>
              <w:jc w:val="both"/>
              <w:rPr>
                <w:rFonts w:hint="eastAsia" w:eastAsia="宋体"/>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4</w:t>
            </w:r>
          </w:p>
        </w:tc>
        <w:tc>
          <w:tcPr>
            <w:tcW w:w="4079" w:type="dxa"/>
            <w:gridSpan w:val="2"/>
            <w:tcBorders>
              <w:top w:val="single" w:color="auto" w:sz="4" w:space="0"/>
              <w:left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TBS镀锌网防护(含土工布、植草、镀锌网含于单价中，不另计）</w:t>
            </w:r>
          </w:p>
          <w:p>
            <w:pPr>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坡面喷射7cmTBS镀锌网防护</w:t>
            </w:r>
          </w:p>
          <w:p>
            <w:pPr>
              <w:pStyle w:val="15"/>
              <w:jc w:val="center"/>
              <w:rPr>
                <w:rFonts w:asciiTheme="minorEastAsia" w:hAnsiTheme="minorEastAsia" w:eastAsiaTheme="minorEastAsia" w:cstheme="minorEastAsia"/>
                <w:sz w:val="24"/>
                <w:szCs w:val="24"/>
              </w:rPr>
            </w:pPr>
          </w:p>
        </w:tc>
        <w:tc>
          <w:tcPr>
            <w:tcW w:w="716" w:type="dxa"/>
            <w:tcBorders>
              <w:top w:val="single" w:color="auto" w:sz="4" w:space="0"/>
              <w:left w:val="single" w:color="auto" w:sz="4" w:space="0"/>
              <w:bottom w:val="single" w:color="auto" w:sz="4" w:space="0"/>
              <w:right w:val="single" w:color="auto" w:sz="4" w:space="0"/>
            </w:tcBorders>
            <w:vAlign w:val="center"/>
          </w:tcPr>
          <w:p>
            <w:pPr>
              <w:pStyle w:val="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SA"/>
              </w:rPr>
              <w:t>m</w:t>
            </w:r>
            <w:r>
              <w:rPr>
                <w:rFonts w:hint="eastAsia" w:asciiTheme="minorEastAsia" w:hAnsiTheme="minorEastAsia" w:eastAsiaTheme="minorEastAsia" w:cstheme="minorEastAsia"/>
                <w:kern w:val="0"/>
                <w:sz w:val="24"/>
                <w:szCs w:val="24"/>
                <w:vertAlign w:val="superscript"/>
                <w:lang w:val="en-US" w:eastAsia="zh-CN" w:bidi="ar-SA"/>
              </w:rPr>
              <w:t>2</w:t>
            </w:r>
          </w:p>
        </w:tc>
        <w:tc>
          <w:tcPr>
            <w:tcW w:w="942" w:type="dxa"/>
            <w:tcBorders>
              <w:top w:val="single" w:color="auto" w:sz="4" w:space="0"/>
              <w:left w:val="single" w:color="auto" w:sz="4" w:space="0"/>
              <w:bottom w:val="single" w:color="auto" w:sz="4" w:space="0"/>
              <w:right w:val="single" w:color="auto" w:sz="4" w:space="0"/>
            </w:tcBorders>
            <w:vAlign w:val="center"/>
          </w:tcPr>
          <w:p>
            <w:pPr>
              <w:pStyle w:val="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18"/>
                <w:szCs w:val="18"/>
                <w:lang w:val="en-US" w:eastAsia="zh-CN" w:bidi="ar-SA"/>
              </w:rPr>
              <w:t>25269.9</w:t>
            </w:r>
          </w:p>
        </w:tc>
        <w:tc>
          <w:tcPr>
            <w:tcW w:w="1390" w:type="dxa"/>
            <w:tcBorders>
              <w:top w:val="single" w:color="auto" w:sz="4" w:space="0"/>
              <w:left w:val="single" w:color="auto" w:sz="4" w:space="0"/>
              <w:bottom w:val="single" w:color="auto" w:sz="4" w:space="0"/>
              <w:right w:val="single" w:color="auto" w:sz="4" w:space="0"/>
            </w:tcBorders>
          </w:tcPr>
          <w:p>
            <w:pPr>
              <w:pStyle w:val="15"/>
              <w:rPr>
                <w:kern w:val="2"/>
                <w:sz w:val="24"/>
                <w:szCs w:val="24"/>
              </w:rPr>
            </w:pPr>
          </w:p>
        </w:tc>
        <w:tc>
          <w:tcPr>
            <w:tcW w:w="1047" w:type="dxa"/>
            <w:tcBorders>
              <w:top w:val="single" w:color="auto" w:sz="4" w:space="0"/>
              <w:left w:val="single" w:color="auto" w:sz="4" w:space="0"/>
              <w:bottom w:val="single" w:color="auto" w:sz="4" w:space="0"/>
              <w:right w:val="single" w:color="auto" w:sz="4" w:space="0"/>
            </w:tcBorders>
          </w:tcPr>
          <w:p>
            <w:pPr>
              <w:pStyle w:val="15"/>
              <w:ind w:right="-6" w:rightChars="-3"/>
              <w:rPr>
                <w:kern w:val="2"/>
                <w:sz w:val="24"/>
                <w:szCs w:val="24"/>
              </w:rPr>
            </w:pPr>
          </w:p>
        </w:tc>
        <w:tc>
          <w:tcPr>
            <w:tcW w:w="1294" w:type="dxa"/>
            <w:tcBorders>
              <w:top w:val="single" w:color="auto" w:sz="4" w:space="0"/>
              <w:left w:val="single" w:color="auto" w:sz="4" w:space="0"/>
              <w:bottom w:val="single" w:color="auto" w:sz="4" w:space="0"/>
              <w:right w:val="single" w:color="auto" w:sz="4" w:space="0"/>
            </w:tcBorders>
            <w:vAlign w:val="center"/>
          </w:tcPr>
          <w:p>
            <w:pPr>
              <w:pStyle w:val="15"/>
              <w:jc w:val="both"/>
              <w:rPr>
                <w:rFonts w:hint="eastAsia" w:eastAsia="宋体"/>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eastAsia="宋体"/>
                <w:kern w:val="2"/>
                <w:lang w:val="en-US" w:eastAsia="zh-CN"/>
              </w:rPr>
            </w:pPr>
            <w:r>
              <w:rPr>
                <w:rFonts w:hint="eastAsia"/>
                <w:kern w:val="2"/>
                <w:lang w:val="en-US" w:eastAsia="zh-CN"/>
              </w:rPr>
              <w:t>5</w:t>
            </w:r>
          </w:p>
        </w:tc>
        <w:tc>
          <w:tcPr>
            <w:tcW w:w="4079" w:type="dxa"/>
            <w:gridSpan w:val="2"/>
            <w:tcBorders>
              <w:top w:val="single" w:color="auto" w:sz="4" w:space="0"/>
              <w:left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TBS镀锌网防护(含土工布、植草、镀锌网含于单价中，不另计）</w:t>
            </w:r>
          </w:p>
          <w:p>
            <w:pPr>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坡面喷射8cmTBS镀锌网防护</w:t>
            </w:r>
          </w:p>
          <w:p>
            <w:pPr>
              <w:pStyle w:val="15"/>
              <w:jc w:val="center"/>
              <w:rPr>
                <w:kern w:val="2"/>
                <w:sz w:val="24"/>
                <w:szCs w:val="24"/>
              </w:rPr>
            </w:pPr>
          </w:p>
        </w:tc>
        <w:tc>
          <w:tcPr>
            <w:tcW w:w="716" w:type="dxa"/>
            <w:tcBorders>
              <w:top w:val="single" w:color="auto" w:sz="4" w:space="0"/>
              <w:left w:val="single" w:color="auto" w:sz="4" w:space="0"/>
              <w:bottom w:val="single" w:color="auto" w:sz="4" w:space="0"/>
              <w:right w:val="single" w:color="auto" w:sz="4" w:space="0"/>
            </w:tcBorders>
            <w:vAlign w:val="center"/>
          </w:tcPr>
          <w:p>
            <w:pPr>
              <w:pStyle w:val="15"/>
              <w:jc w:val="center"/>
              <w:rPr>
                <w:kern w:val="2"/>
                <w:sz w:val="24"/>
                <w:szCs w:val="24"/>
              </w:rPr>
            </w:pPr>
            <w:r>
              <w:rPr>
                <w:rFonts w:hint="eastAsia" w:asciiTheme="minorEastAsia" w:hAnsiTheme="minorEastAsia" w:eastAsiaTheme="minorEastAsia" w:cstheme="minorEastAsia"/>
                <w:kern w:val="0"/>
                <w:sz w:val="24"/>
                <w:szCs w:val="24"/>
                <w:lang w:val="en-US" w:eastAsia="zh-CN" w:bidi="ar-SA"/>
              </w:rPr>
              <w:t>m</w:t>
            </w:r>
            <w:r>
              <w:rPr>
                <w:rFonts w:hint="eastAsia" w:asciiTheme="minorEastAsia" w:hAnsiTheme="minorEastAsia" w:eastAsiaTheme="minorEastAsia" w:cstheme="minorEastAsia"/>
                <w:kern w:val="0"/>
                <w:sz w:val="24"/>
                <w:szCs w:val="24"/>
                <w:vertAlign w:val="superscript"/>
                <w:lang w:val="en-US" w:eastAsia="zh-CN" w:bidi="ar-SA"/>
              </w:rPr>
              <w:t>2</w:t>
            </w:r>
          </w:p>
        </w:tc>
        <w:tc>
          <w:tcPr>
            <w:tcW w:w="942" w:type="dxa"/>
            <w:tcBorders>
              <w:top w:val="single" w:color="auto" w:sz="4" w:space="0"/>
              <w:left w:val="single" w:color="auto" w:sz="4" w:space="0"/>
              <w:bottom w:val="single" w:color="auto" w:sz="4" w:space="0"/>
              <w:right w:val="single" w:color="auto" w:sz="4" w:space="0"/>
            </w:tcBorders>
            <w:vAlign w:val="center"/>
          </w:tcPr>
          <w:p>
            <w:pPr>
              <w:pStyle w:val="15"/>
              <w:jc w:val="center"/>
              <w:rPr>
                <w:kern w:val="2"/>
                <w:sz w:val="24"/>
                <w:szCs w:val="24"/>
              </w:rPr>
            </w:pPr>
            <w:r>
              <w:rPr>
                <w:rFonts w:hint="eastAsia" w:asciiTheme="minorEastAsia" w:hAnsiTheme="minorEastAsia" w:eastAsiaTheme="minorEastAsia" w:cstheme="minorEastAsia"/>
                <w:kern w:val="0"/>
                <w:sz w:val="18"/>
                <w:szCs w:val="18"/>
                <w:lang w:val="en-US" w:eastAsia="zh-CN" w:bidi="ar-SA"/>
              </w:rPr>
              <w:t>17601.0</w:t>
            </w:r>
          </w:p>
        </w:tc>
        <w:tc>
          <w:tcPr>
            <w:tcW w:w="1390" w:type="dxa"/>
            <w:tcBorders>
              <w:top w:val="single" w:color="auto" w:sz="4" w:space="0"/>
              <w:left w:val="single" w:color="auto" w:sz="4" w:space="0"/>
              <w:bottom w:val="single" w:color="auto" w:sz="4" w:space="0"/>
              <w:right w:val="single" w:color="auto" w:sz="4" w:space="0"/>
            </w:tcBorders>
          </w:tcPr>
          <w:p>
            <w:pPr>
              <w:pStyle w:val="15"/>
              <w:rPr>
                <w:kern w:val="2"/>
                <w:sz w:val="24"/>
                <w:szCs w:val="24"/>
              </w:rPr>
            </w:pPr>
          </w:p>
        </w:tc>
        <w:tc>
          <w:tcPr>
            <w:tcW w:w="1047" w:type="dxa"/>
            <w:tcBorders>
              <w:top w:val="single" w:color="auto" w:sz="4" w:space="0"/>
              <w:left w:val="single" w:color="auto" w:sz="4" w:space="0"/>
              <w:bottom w:val="single" w:color="auto" w:sz="4" w:space="0"/>
              <w:right w:val="single" w:color="auto" w:sz="4" w:space="0"/>
            </w:tcBorders>
          </w:tcPr>
          <w:p>
            <w:pPr>
              <w:pStyle w:val="15"/>
              <w:ind w:right="-6" w:rightChars="-3"/>
              <w:rPr>
                <w:kern w:val="2"/>
                <w:sz w:val="24"/>
                <w:szCs w:val="24"/>
              </w:rPr>
            </w:pPr>
          </w:p>
        </w:tc>
        <w:tc>
          <w:tcPr>
            <w:tcW w:w="1294" w:type="dxa"/>
            <w:tcBorders>
              <w:top w:val="single" w:color="auto" w:sz="4" w:space="0"/>
              <w:left w:val="single" w:color="auto" w:sz="4" w:space="0"/>
              <w:bottom w:val="single" w:color="auto" w:sz="4" w:space="0"/>
              <w:right w:val="single" w:color="auto" w:sz="4" w:space="0"/>
            </w:tcBorders>
            <w:vAlign w:val="center"/>
          </w:tcPr>
          <w:p>
            <w:pPr>
              <w:pStyle w:val="15"/>
              <w:jc w:val="both"/>
              <w:rPr>
                <w:rFonts w:hint="eastAsia" w:eastAsia="宋体"/>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eastAsia="宋体"/>
                <w:kern w:val="2"/>
                <w:lang w:val="en-US" w:eastAsia="zh-CN"/>
              </w:rPr>
            </w:pPr>
            <w:r>
              <w:rPr>
                <w:rFonts w:hint="eastAsia"/>
                <w:kern w:val="2"/>
                <w:lang w:val="en-US" w:eastAsia="zh-CN"/>
              </w:rPr>
              <w:t>6</w:t>
            </w:r>
          </w:p>
        </w:tc>
        <w:tc>
          <w:tcPr>
            <w:tcW w:w="407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TBS镀锌网防护(含土工布、植草、镀锌网含于单价中，不另计）</w:t>
            </w:r>
          </w:p>
          <w:p>
            <w:pPr>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坡面喷射9cmTBS镀锌网防护</w:t>
            </w:r>
          </w:p>
          <w:p>
            <w:pPr>
              <w:pStyle w:val="15"/>
              <w:jc w:val="center"/>
              <w:rPr>
                <w:kern w:val="2"/>
                <w:sz w:val="24"/>
                <w:szCs w:val="24"/>
              </w:rPr>
            </w:pPr>
          </w:p>
        </w:tc>
        <w:tc>
          <w:tcPr>
            <w:tcW w:w="716" w:type="dxa"/>
            <w:tcBorders>
              <w:top w:val="single" w:color="auto" w:sz="4" w:space="0"/>
              <w:left w:val="single" w:color="auto" w:sz="4" w:space="0"/>
              <w:bottom w:val="single" w:color="auto" w:sz="4" w:space="0"/>
              <w:right w:val="single" w:color="auto" w:sz="4" w:space="0"/>
            </w:tcBorders>
            <w:vAlign w:val="center"/>
          </w:tcPr>
          <w:p>
            <w:pPr>
              <w:pStyle w:val="15"/>
              <w:jc w:val="center"/>
              <w:rPr>
                <w:kern w:val="2"/>
                <w:sz w:val="24"/>
                <w:szCs w:val="24"/>
              </w:rPr>
            </w:pPr>
            <w:r>
              <w:rPr>
                <w:rFonts w:hint="eastAsia" w:asciiTheme="minorEastAsia" w:hAnsiTheme="minorEastAsia" w:eastAsiaTheme="minorEastAsia" w:cstheme="minorEastAsia"/>
                <w:kern w:val="0"/>
                <w:sz w:val="24"/>
                <w:szCs w:val="24"/>
                <w:lang w:val="en-US" w:eastAsia="zh-CN" w:bidi="ar-SA"/>
              </w:rPr>
              <w:t>m</w:t>
            </w:r>
            <w:r>
              <w:rPr>
                <w:rFonts w:hint="eastAsia" w:asciiTheme="minorEastAsia" w:hAnsiTheme="minorEastAsia" w:eastAsiaTheme="minorEastAsia" w:cstheme="minorEastAsia"/>
                <w:kern w:val="0"/>
                <w:sz w:val="24"/>
                <w:szCs w:val="24"/>
                <w:vertAlign w:val="superscript"/>
                <w:lang w:val="en-US" w:eastAsia="zh-CN" w:bidi="ar-SA"/>
              </w:rPr>
              <w:t>2</w:t>
            </w:r>
          </w:p>
        </w:tc>
        <w:tc>
          <w:tcPr>
            <w:tcW w:w="942" w:type="dxa"/>
            <w:tcBorders>
              <w:top w:val="single" w:color="auto" w:sz="4" w:space="0"/>
              <w:left w:val="single" w:color="auto" w:sz="4" w:space="0"/>
              <w:bottom w:val="single" w:color="auto" w:sz="4" w:space="0"/>
              <w:right w:val="single" w:color="auto" w:sz="4" w:space="0"/>
            </w:tcBorders>
            <w:vAlign w:val="center"/>
          </w:tcPr>
          <w:p>
            <w:pPr>
              <w:pStyle w:val="15"/>
              <w:jc w:val="center"/>
              <w:rPr>
                <w:kern w:val="2"/>
                <w:sz w:val="24"/>
                <w:szCs w:val="24"/>
              </w:rPr>
            </w:pPr>
            <w:r>
              <w:rPr>
                <w:rFonts w:hint="eastAsia" w:asciiTheme="minorEastAsia" w:hAnsiTheme="minorEastAsia" w:eastAsiaTheme="minorEastAsia" w:cstheme="minorEastAsia"/>
                <w:kern w:val="0"/>
                <w:sz w:val="18"/>
                <w:szCs w:val="18"/>
                <w:lang w:val="en-US" w:eastAsia="zh-CN" w:bidi="ar-SA"/>
              </w:rPr>
              <w:t>22415.4</w:t>
            </w:r>
          </w:p>
        </w:tc>
        <w:tc>
          <w:tcPr>
            <w:tcW w:w="1390" w:type="dxa"/>
            <w:tcBorders>
              <w:top w:val="single" w:color="auto" w:sz="4" w:space="0"/>
              <w:left w:val="single" w:color="auto" w:sz="4" w:space="0"/>
              <w:bottom w:val="single" w:color="auto" w:sz="4" w:space="0"/>
              <w:right w:val="single" w:color="auto" w:sz="4" w:space="0"/>
            </w:tcBorders>
          </w:tcPr>
          <w:p>
            <w:pPr>
              <w:pStyle w:val="15"/>
              <w:rPr>
                <w:kern w:val="2"/>
                <w:sz w:val="24"/>
                <w:szCs w:val="24"/>
              </w:rPr>
            </w:pPr>
          </w:p>
        </w:tc>
        <w:tc>
          <w:tcPr>
            <w:tcW w:w="1047" w:type="dxa"/>
            <w:tcBorders>
              <w:top w:val="single" w:color="auto" w:sz="4" w:space="0"/>
              <w:left w:val="single" w:color="auto" w:sz="4" w:space="0"/>
              <w:bottom w:val="single" w:color="auto" w:sz="4" w:space="0"/>
              <w:right w:val="single" w:color="auto" w:sz="4" w:space="0"/>
            </w:tcBorders>
          </w:tcPr>
          <w:p>
            <w:pPr>
              <w:pStyle w:val="15"/>
              <w:ind w:right="-6" w:rightChars="-3"/>
              <w:rPr>
                <w:kern w:val="2"/>
                <w:sz w:val="24"/>
                <w:szCs w:val="24"/>
              </w:rPr>
            </w:pPr>
          </w:p>
        </w:tc>
        <w:tc>
          <w:tcPr>
            <w:tcW w:w="1294" w:type="dxa"/>
            <w:tcBorders>
              <w:top w:val="single" w:color="auto" w:sz="4" w:space="0"/>
              <w:left w:val="single" w:color="auto" w:sz="4" w:space="0"/>
              <w:bottom w:val="single" w:color="auto" w:sz="4" w:space="0"/>
              <w:right w:val="single" w:color="auto" w:sz="4" w:space="0"/>
            </w:tcBorders>
            <w:vAlign w:val="center"/>
          </w:tcPr>
          <w:p>
            <w:pPr>
              <w:pStyle w:val="15"/>
              <w:jc w:val="both"/>
              <w:rPr>
                <w:rFonts w:hint="eastAsia" w:eastAsia="宋体"/>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kern w:val="2"/>
                <w:lang w:val="en-US" w:eastAsia="zh-CN"/>
              </w:rPr>
            </w:pPr>
            <w:r>
              <w:rPr>
                <w:rFonts w:hint="eastAsia"/>
                <w:kern w:val="2"/>
                <w:lang w:val="en-US" w:eastAsia="zh-CN"/>
              </w:rPr>
              <w:t>7</w:t>
            </w:r>
          </w:p>
        </w:tc>
        <w:tc>
          <w:tcPr>
            <w:tcW w:w="4079" w:type="dxa"/>
            <w:gridSpan w:val="2"/>
            <w:tcBorders>
              <w:top w:val="single" w:color="auto" w:sz="4" w:space="0"/>
              <w:left w:val="single" w:color="auto" w:sz="4" w:space="0"/>
              <w:bottom w:val="single" w:color="auto" w:sz="4" w:space="0"/>
              <w:right w:val="single" w:color="auto" w:sz="4" w:space="0"/>
            </w:tcBorders>
            <w:vAlign w:val="center"/>
          </w:tcPr>
          <w:p>
            <w:pPr>
              <w:pStyle w:val="15"/>
              <w:jc w:val="center"/>
              <w:rPr>
                <w:kern w:val="2"/>
                <w:sz w:val="24"/>
                <w:szCs w:val="24"/>
              </w:rPr>
            </w:pPr>
            <w:r>
              <w:rPr>
                <w:rFonts w:hint="eastAsia"/>
                <w:kern w:val="2"/>
                <w:sz w:val="24"/>
                <w:szCs w:val="24"/>
              </w:rPr>
              <w:t>马尼拉草皮</w:t>
            </w:r>
          </w:p>
        </w:tc>
        <w:tc>
          <w:tcPr>
            <w:tcW w:w="71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w:t>
            </w:r>
          </w:p>
        </w:tc>
        <w:tc>
          <w:tcPr>
            <w:tcW w:w="94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12233</w:t>
            </w:r>
          </w:p>
        </w:tc>
        <w:tc>
          <w:tcPr>
            <w:tcW w:w="1390" w:type="dxa"/>
            <w:tcBorders>
              <w:top w:val="single" w:color="auto" w:sz="4" w:space="0"/>
              <w:left w:val="single" w:color="auto" w:sz="4" w:space="0"/>
              <w:bottom w:val="single" w:color="auto" w:sz="4" w:space="0"/>
              <w:right w:val="single" w:color="auto" w:sz="4" w:space="0"/>
            </w:tcBorders>
          </w:tcPr>
          <w:p>
            <w:pPr>
              <w:pStyle w:val="15"/>
              <w:rPr>
                <w:kern w:val="2"/>
                <w:sz w:val="24"/>
                <w:szCs w:val="24"/>
              </w:rPr>
            </w:pPr>
          </w:p>
        </w:tc>
        <w:tc>
          <w:tcPr>
            <w:tcW w:w="1047" w:type="dxa"/>
            <w:tcBorders>
              <w:top w:val="single" w:color="auto" w:sz="4" w:space="0"/>
              <w:left w:val="single" w:color="auto" w:sz="4" w:space="0"/>
              <w:bottom w:val="single" w:color="auto" w:sz="4" w:space="0"/>
              <w:right w:val="single" w:color="auto" w:sz="4" w:space="0"/>
            </w:tcBorders>
          </w:tcPr>
          <w:p>
            <w:pPr>
              <w:pStyle w:val="15"/>
              <w:ind w:right="-6" w:rightChars="-3"/>
              <w:rPr>
                <w:kern w:val="2"/>
                <w:sz w:val="24"/>
                <w:szCs w:val="24"/>
              </w:rPr>
            </w:pPr>
          </w:p>
        </w:tc>
        <w:tc>
          <w:tcPr>
            <w:tcW w:w="1294" w:type="dxa"/>
            <w:tcBorders>
              <w:top w:val="single" w:color="auto" w:sz="4" w:space="0"/>
              <w:left w:val="single" w:color="auto" w:sz="4" w:space="0"/>
              <w:bottom w:val="single" w:color="auto" w:sz="4" w:space="0"/>
              <w:right w:val="single" w:color="auto" w:sz="4" w:space="0"/>
            </w:tcBorders>
            <w:vAlign w:val="center"/>
          </w:tcPr>
          <w:p>
            <w:pPr>
              <w:pStyle w:val="15"/>
              <w:rPr>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kern w:val="2"/>
                <w:lang w:val="en-US" w:eastAsia="zh-CN"/>
              </w:rPr>
            </w:pPr>
            <w:r>
              <w:rPr>
                <w:rFonts w:hint="eastAsia"/>
                <w:kern w:val="2"/>
                <w:lang w:val="en-US" w:eastAsia="zh-CN"/>
              </w:rPr>
              <w:t>8</w:t>
            </w:r>
          </w:p>
        </w:tc>
        <w:tc>
          <w:tcPr>
            <w:tcW w:w="4079" w:type="dxa"/>
            <w:gridSpan w:val="2"/>
            <w:tcBorders>
              <w:top w:val="single" w:color="auto" w:sz="4" w:space="0"/>
              <w:left w:val="single" w:color="auto" w:sz="4" w:space="0"/>
              <w:bottom w:val="single" w:color="auto" w:sz="4" w:space="0"/>
              <w:right w:val="single" w:color="auto" w:sz="4" w:space="0"/>
            </w:tcBorders>
            <w:vAlign w:val="center"/>
          </w:tcPr>
          <w:p>
            <w:pPr>
              <w:pStyle w:val="15"/>
              <w:jc w:val="center"/>
              <w:rPr>
                <w:kern w:val="2"/>
                <w:sz w:val="24"/>
                <w:szCs w:val="24"/>
              </w:rPr>
            </w:pPr>
            <w:r>
              <w:rPr>
                <w:rFonts w:hint="eastAsia"/>
                <w:kern w:val="2"/>
                <w:sz w:val="24"/>
                <w:szCs w:val="24"/>
              </w:rPr>
              <w:t>羊蹄甲(胸径Φ8-9cm，高度3m，冠幅1.4m以上）</w:t>
            </w:r>
          </w:p>
        </w:tc>
        <w:tc>
          <w:tcPr>
            <w:tcW w:w="71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株</w:t>
            </w:r>
          </w:p>
        </w:tc>
        <w:tc>
          <w:tcPr>
            <w:tcW w:w="94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957</w:t>
            </w:r>
          </w:p>
        </w:tc>
        <w:tc>
          <w:tcPr>
            <w:tcW w:w="1390" w:type="dxa"/>
            <w:tcBorders>
              <w:top w:val="single" w:color="auto" w:sz="4" w:space="0"/>
              <w:left w:val="single" w:color="auto" w:sz="4" w:space="0"/>
              <w:bottom w:val="single" w:color="auto" w:sz="4" w:space="0"/>
              <w:right w:val="single" w:color="auto" w:sz="4" w:space="0"/>
            </w:tcBorders>
          </w:tcPr>
          <w:p>
            <w:pPr>
              <w:pStyle w:val="15"/>
              <w:rPr>
                <w:kern w:val="2"/>
                <w:sz w:val="24"/>
                <w:szCs w:val="24"/>
              </w:rPr>
            </w:pPr>
          </w:p>
        </w:tc>
        <w:tc>
          <w:tcPr>
            <w:tcW w:w="1047" w:type="dxa"/>
            <w:tcBorders>
              <w:top w:val="single" w:color="auto" w:sz="4" w:space="0"/>
              <w:left w:val="single" w:color="auto" w:sz="4" w:space="0"/>
              <w:bottom w:val="single" w:color="auto" w:sz="4" w:space="0"/>
              <w:right w:val="single" w:color="auto" w:sz="4" w:space="0"/>
            </w:tcBorders>
          </w:tcPr>
          <w:p>
            <w:pPr>
              <w:pStyle w:val="15"/>
              <w:ind w:right="-6" w:rightChars="-3"/>
              <w:rPr>
                <w:kern w:val="2"/>
                <w:sz w:val="24"/>
                <w:szCs w:val="24"/>
              </w:rPr>
            </w:pPr>
          </w:p>
        </w:tc>
        <w:tc>
          <w:tcPr>
            <w:tcW w:w="1294" w:type="dxa"/>
            <w:tcBorders>
              <w:top w:val="single" w:color="auto" w:sz="4" w:space="0"/>
              <w:left w:val="single" w:color="auto" w:sz="4" w:space="0"/>
              <w:bottom w:val="single" w:color="auto" w:sz="4" w:space="0"/>
              <w:right w:val="single" w:color="auto" w:sz="4" w:space="0"/>
            </w:tcBorders>
            <w:vAlign w:val="center"/>
          </w:tcPr>
          <w:p>
            <w:pPr>
              <w:pStyle w:val="15"/>
              <w:rPr>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kern w:val="2"/>
                <w:lang w:val="en-US" w:eastAsia="zh-CN"/>
              </w:rPr>
            </w:pPr>
            <w:r>
              <w:rPr>
                <w:rFonts w:hint="eastAsia"/>
                <w:kern w:val="2"/>
                <w:lang w:val="en-US" w:eastAsia="zh-CN"/>
              </w:rPr>
              <w:t>9</w:t>
            </w:r>
          </w:p>
        </w:tc>
        <w:tc>
          <w:tcPr>
            <w:tcW w:w="4079" w:type="dxa"/>
            <w:gridSpan w:val="2"/>
            <w:tcBorders>
              <w:top w:val="single" w:color="auto" w:sz="4" w:space="0"/>
              <w:left w:val="single" w:color="auto" w:sz="4" w:space="0"/>
              <w:bottom w:val="single" w:color="auto" w:sz="4" w:space="0"/>
              <w:right w:val="single" w:color="auto" w:sz="4" w:space="0"/>
            </w:tcBorders>
            <w:vAlign w:val="center"/>
          </w:tcPr>
          <w:p>
            <w:pPr>
              <w:pStyle w:val="15"/>
              <w:jc w:val="center"/>
              <w:rPr>
                <w:kern w:val="2"/>
                <w:sz w:val="24"/>
                <w:szCs w:val="24"/>
              </w:rPr>
            </w:pPr>
            <w:r>
              <w:rPr>
                <w:rFonts w:hint="eastAsia"/>
                <w:kern w:val="2"/>
                <w:sz w:val="24"/>
                <w:szCs w:val="24"/>
              </w:rPr>
              <w:t>四季桂(地径5cm，高度2m，冠幅0.9m以上）</w:t>
            </w:r>
          </w:p>
        </w:tc>
        <w:tc>
          <w:tcPr>
            <w:tcW w:w="71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株</w:t>
            </w:r>
          </w:p>
        </w:tc>
        <w:tc>
          <w:tcPr>
            <w:tcW w:w="94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1694</w:t>
            </w:r>
          </w:p>
        </w:tc>
        <w:tc>
          <w:tcPr>
            <w:tcW w:w="1390" w:type="dxa"/>
            <w:tcBorders>
              <w:top w:val="single" w:color="auto" w:sz="4" w:space="0"/>
              <w:left w:val="single" w:color="auto" w:sz="4" w:space="0"/>
              <w:bottom w:val="single" w:color="auto" w:sz="4" w:space="0"/>
              <w:right w:val="single" w:color="auto" w:sz="4" w:space="0"/>
            </w:tcBorders>
          </w:tcPr>
          <w:p>
            <w:pPr>
              <w:pStyle w:val="15"/>
              <w:rPr>
                <w:kern w:val="2"/>
                <w:sz w:val="24"/>
                <w:szCs w:val="24"/>
              </w:rPr>
            </w:pPr>
          </w:p>
        </w:tc>
        <w:tc>
          <w:tcPr>
            <w:tcW w:w="1047" w:type="dxa"/>
            <w:tcBorders>
              <w:top w:val="single" w:color="auto" w:sz="4" w:space="0"/>
              <w:left w:val="single" w:color="auto" w:sz="4" w:space="0"/>
              <w:bottom w:val="single" w:color="auto" w:sz="4" w:space="0"/>
              <w:right w:val="single" w:color="auto" w:sz="4" w:space="0"/>
            </w:tcBorders>
          </w:tcPr>
          <w:p>
            <w:pPr>
              <w:pStyle w:val="15"/>
              <w:ind w:right="-6" w:rightChars="-3"/>
              <w:rPr>
                <w:kern w:val="2"/>
                <w:sz w:val="24"/>
                <w:szCs w:val="24"/>
              </w:rPr>
            </w:pPr>
          </w:p>
        </w:tc>
        <w:tc>
          <w:tcPr>
            <w:tcW w:w="1294" w:type="dxa"/>
            <w:tcBorders>
              <w:top w:val="single" w:color="auto" w:sz="4" w:space="0"/>
              <w:left w:val="single" w:color="auto" w:sz="4" w:space="0"/>
              <w:bottom w:val="single" w:color="auto" w:sz="4" w:space="0"/>
              <w:right w:val="single" w:color="auto" w:sz="4" w:space="0"/>
            </w:tcBorders>
            <w:vAlign w:val="center"/>
          </w:tcPr>
          <w:p>
            <w:pPr>
              <w:pStyle w:val="15"/>
              <w:rPr>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kern w:val="2"/>
                <w:lang w:val="en-US" w:eastAsia="zh-CN"/>
              </w:rPr>
            </w:pPr>
            <w:r>
              <w:rPr>
                <w:rFonts w:hint="eastAsia"/>
                <w:kern w:val="2"/>
                <w:lang w:val="en-US" w:eastAsia="zh-CN"/>
              </w:rPr>
              <w:t>10</w:t>
            </w:r>
          </w:p>
        </w:tc>
        <w:tc>
          <w:tcPr>
            <w:tcW w:w="4079" w:type="dxa"/>
            <w:gridSpan w:val="2"/>
            <w:tcBorders>
              <w:top w:val="single" w:color="auto" w:sz="4" w:space="0"/>
              <w:left w:val="single" w:color="auto" w:sz="4" w:space="0"/>
              <w:bottom w:val="single" w:color="auto" w:sz="4" w:space="0"/>
              <w:right w:val="single" w:color="auto" w:sz="4" w:space="0"/>
            </w:tcBorders>
            <w:vAlign w:val="center"/>
          </w:tcPr>
          <w:p>
            <w:pPr>
              <w:pStyle w:val="15"/>
              <w:jc w:val="center"/>
              <w:rPr>
                <w:kern w:val="2"/>
                <w:sz w:val="24"/>
                <w:szCs w:val="24"/>
              </w:rPr>
            </w:pPr>
            <w:r>
              <w:rPr>
                <w:rFonts w:hint="eastAsia"/>
                <w:kern w:val="2"/>
                <w:sz w:val="24"/>
                <w:szCs w:val="24"/>
              </w:rPr>
              <w:t>垂叶榕(胸径Φ8-9cm，高度2m，冠幅0.9m以上）</w:t>
            </w:r>
          </w:p>
        </w:tc>
        <w:tc>
          <w:tcPr>
            <w:tcW w:w="71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株</w:t>
            </w:r>
          </w:p>
        </w:tc>
        <w:tc>
          <w:tcPr>
            <w:tcW w:w="94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957</w:t>
            </w:r>
          </w:p>
        </w:tc>
        <w:tc>
          <w:tcPr>
            <w:tcW w:w="1390" w:type="dxa"/>
            <w:tcBorders>
              <w:top w:val="single" w:color="auto" w:sz="4" w:space="0"/>
              <w:left w:val="single" w:color="auto" w:sz="4" w:space="0"/>
              <w:bottom w:val="single" w:color="auto" w:sz="4" w:space="0"/>
              <w:right w:val="single" w:color="auto" w:sz="4" w:space="0"/>
            </w:tcBorders>
          </w:tcPr>
          <w:p>
            <w:pPr>
              <w:pStyle w:val="15"/>
              <w:rPr>
                <w:kern w:val="2"/>
                <w:sz w:val="24"/>
                <w:szCs w:val="24"/>
              </w:rPr>
            </w:pPr>
          </w:p>
        </w:tc>
        <w:tc>
          <w:tcPr>
            <w:tcW w:w="1047" w:type="dxa"/>
            <w:tcBorders>
              <w:top w:val="single" w:color="auto" w:sz="4" w:space="0"/>
              <w:left w:val="single" w:color="auto" w:sz="4" w:space="0"/>
              <w:bottom w:val="single" w:color="auto" w:sz="4" w:space="0"/>
              <w:right w:val="single" w:color="auto" w:sz="4" w:space="0"/>
            </w:tcBorders>
          </w:tcPr>
          <w:p>
            <w:pPr>
              <w:pStyle w:val="15"/>
              <w:ind w:right="-6" w:rightChars="-3"/>
              <w:rPr>
                <w:kern w:val="2"/>
                <w:sz w:val="24"/>
                <w:szCs w:val="24"/>
              </w:rPr>
            </w:pPr>
          </w:p>
        </w:tc>
        <w:tc>
          <w:tcPr>
            <w:tcW w:w="1294" w:type="dxa"/>
            <w:tcBorders>
              <w:top w:val="single" w:color="auto" w:sz="4" w:space="0"/>
              <w:left w:val="single" w:color="auto" w:sz="4" w:space="0"/>
              <w:bottom w:val="single" w:color="auto" w:sz="4" w:space="0"/>
              <w:right w:val="single" w:color="auto" w:sz="4" w:space="0"/>
            </w:tcBorders>
            <w:vAlign w:val="center"/>
          </w:tcPr>
          <w:p>
            <w:pPr>
              <w:pStyle w:val="15"/>
              <w:rPr>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kern w:val="2"/>
                <w:lang w:val="en-US" w:eastAsia="zh-CN"/>
              </w:rPr>
            </w:pPr>
            <w:r>
              <w:rPr>
                <w:rFonts w:hint="eastAsia"/>
                <w:kern w:val="2"/>
                <w:lang w:val="en-US" w:eastAsia="zh-CN"/>
              </w:rPr>
              <w:t>11</w:t>
            </w:r>
          </w:p>
        </w:tc>
        <w:tc>
          <w:tcPr>
            <w:tcW w:w="4079" w:type="dxa"/>
            <w:gridSpan w:val="2"/>
            <w:tcBorders>
              <w:top w:val="single" w:color="auto" w:sz="4" w:space="0"/>
              <w:left w:val="single" w:color="auto" w:sz="4" w:space="0"/>
              <w:bottom w:val="single" w:color="auto" w:sz="4" w:space="0"/>
              <w:right w:val="single" w:color="auto" w:sz="4" w:space="0"/>
            </w:tcBorders>
            <w:vAlign w:val="center"/>
          </w:tcPr>
          <w:p>
            <w:pPr>
              <w:pStyle w:val="15"/>
              <w:jc w:val="center"/>
              <w:rPr>
                <w:kern w:val="2"/>
                <w:sz w:val="24"/>
                <w:szCs w:val="24"/>
              </w:rPr>
            </w:pPr>
            <w:r>
              <w:rPr>
                <w:rFonts w:hint="eastAsia"/>
                <w:kern w:val="2"/>
                <w:sz w:val="24"/>
                <w:szCs w:val="24"/>
              </w:rPr>
              <w:t>黄花槐(胸径Φ3-4cm，高度1.5m，冠幅0.6m以上）</w:t>
            </w:r>
          </w:p>
        </w:tc>
        <w:tc>
          <w:tcPr>
            <w:tcW w:w="71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株</w:t>
            </w:r>
          </w:p>
        </w:tc>
        <w:tc>
          <w:tcPr>
            <w:tcW w:w="94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758</w:t>
            </w:r>
          </w:p>
        </w:tc>
        <w:tc>
          <w:tcPr>
            <w:tcW w:w="1390" w:type="dxa"/>
            <w:tcBorders>
              <w:top w:val="single" w:color="auto" w:sz="4" w:space="0"/>
              <w:left w:val="single" w:color="auto" w:sz="4" w:space="0"/>
              <w:bottom w:val="single" w:color="auto" w:sz="4" w:space="0"/>
              <w:right w:val="single" w:color="auto" w:sz="4" w:space="0"/>
            </w:tcBorders>
          </w:tcPr>
          <w:p>
            <w:pPr>
              <w:pStyle w:val="15"/>
              <w:rPr>
                <w:kern w:val="2"/>
                <w:sz w:val="24"/>
                <w:szCs w:val="24"/>
              </w:rPr>
            </w:pPr>
          </w:p>
        </w:tc>
        <w:tc>
          <w:tcPr>
            <w:tcW w:w="1047" w:type="dxa"/>
            <w:tcBorders>
              <w:top w:val="single" w:color="auto" w:sz="4" w:space="0"/>
              <w:left w:val="single" w:color="auto" w:sz="4" w:space="0"/>
              <w:bottom w:val="single" w:color="auto" w:sz="4" w:space="0"/>
              <w:right w:val="single" w:color="auto" w:sz="4" w:space="0"/>
            </w:tcBorders>
          </w:tcPr>
          <w:p>
            <w:pPr>
              <w:pStyle w:val="15"/>
              <w:ind w:right="-6" w:rightChars="-3"/>
              <w:rPr>
                <w:kern w:val="2"/>
                <w:sz w:val="24"/>
                <w:szCs w:val="24"/>
              </w:rPr>
            </w:pPr>
          </w:p>
        </w:tc>
        <w:tc>
          <w:tcPr>
            <w:tcW w:w="1294" w:type="dxa"/>
            <w:tcBorders>
              <w:top w:val="single" w:color="auto" w:sz="4" w:space="0"/>
              <w:left w:val="single" w:color="auto" w:sz="4" w:space="0"/>
              <w:bottom w:val="single" w:color="auto" w:sz="4" w:space="0"/>
              <w:right w:val="single" w:color="auto" w:sz="4" w:space="0"/>
            </w:tcBorders>
            <w:vAlign w:val="center"/>
          </w:tcPr>
          <w:p>
            <w:pPr>
              <w:pStyle w:val="15"/>
              <w:rPr>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kern w:val="2"/>
                <w:lang w:val="en-US" w:eastAsia="zh-CN"/>
              </w:rPr>
            </w:pPr>
            <w:r>
              <w:rPr>
                <w:rFonts w:hint="eastAsia"/>
                <w:kern w:val="2"/>
                <w:lang w:val="en-US" w:eastAsia="zh-CN"/>
              </w:rPr>
              <w:t>12</w:t>
            </w:r>
          </w:p>
        </w:tc>
        <w:tc>
          <w:tcPr>
            <w:tcW w:w="4079" w:type="dxa"/>
            <w:gridSpan w:val="2"/>
            <w:tcBorders>
              <w:top w:val="single" w:color="auto" w:sz="4" w:space="0"/>
              <w:left w:val="single" w:color="auto" w:sz="4" w:space="0"/>
              <w:bottom w:val="single" w:color="auto" w:sz="4" w:space="0"/>
              <w:right w:val="single" w:color="auto" w:sz="4" w:space="0"/>
            </w:tcBorders>
            <w:vAlign w:val="center"/>
          </w:tcPr>
          <w:p>
            <w:pPr>
              <w:pStyle w:val="15"/>
              <w:jc w:val="center"/>
              <w:rPr>
                <w:kern w:val="2"/>
                <w:sz w:val="24"/>
                <w:szCs w:val="24"/>
              </w:rPr>
            </w:pPr>
            <w:r>
              <w:rPr>
                <w:rFonts w:hint="eastAsia"/>
                <w:kern w:val="2"/>
                <w:sz w:val="24"/>
                <w:szCs w:val="24"/>
              </w:rPr>
              <w:t>樟树(胸径Φ9-10cm，高度3m，冠幅1.5m以上）</w:t>
            </w:r>
          </w:p>
        </w:tc>
        <w:tc>
          <w:tcPr>
            <w:tcW w:w="71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株</w:t>
            </w:r>
          </w:p>
        </w:tc>
        <w:tc>
          <w:tcPr>
            <w:tcW w:w="94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758</w:t>
            </w:r>
          </w:p>
        </w:tc>
        <w:tc>
          <w:tcPr>
            <w:tcW w:w="1390" w:type="dxa"/>
            <w:tcBorders>
              <w:top w:val="single" w:color="auto" w:sz="4" w:space="0"/>
              <w:left w:val="single" w:color="auto" w:sz="4" w:space="0"/>
              <w:bottom w:val="single" w:color="auto" w:sz="4" w:space="0"/>
              <w:right w:val="single" w:color="auto" w:sz="4" w:space="0"/>
            </w:tcBorders>
          </w:tcPr>
          <w:p>
            <w:pPr>
              <w:pStyle w:val="15"/>
              <w:rPr>
                <w:kern w:val="2"/>
                <w:sz w:val="24"/>
                <w:szCs w:val="24"/>
              </w:rPr>
            </w:pPr>
          </w:p>
        </w:tc>
        <w:tc>
          <w:tcPr>
            <w:tcW w:w="1047" w:type="dxa"/>
            <w:tcBorders>
              <w:top w:val="single" w:color="auto" w:sz="4" w:space="0"/>
              <w:left w:val="single" w:color="auto" w:sz="4" w:space="0"/>
              <w:bottom w:val="single" w:color="auto" w:sz="4" w:space="0"/>
              <w:right w:val="single" w:color="auto" w:sz="4" w:space="0"/>
            </w:tcBorders>
          </w:tcPr>
          <w:p>
            <w:pPr>
              <w:pStyle w:val="15"/>
              <w:ind w:right="-6" w:rightChars="-3"/>
              <w:rPr>
                <w:kern w:val="2"/>
                <w:sz w:val="24"/>
                <w:szCs w:val="24"/>
              </w:rPr>
            </w:pPr>
          </w:p>
        </w:tc>
        <w:tc>
          <w:tcPr>
            <w:tcW w:w="1294" w:type="dxa"/>
            <w:tcBorders>
              <w:top w:val="single" w:color="auto" w:sz="4" w:space="0"/>
              <w:left w:val="single" w:color="auto" w:sz="4" w:space="0"/>
              <w:bottom w:val="single" w:color="auto" w:sz="4" w:space="0"/>
              <w:right w:val="single" w:color="auto" w:sz="4" w:space="0"/>
            </w:tcBorders>
            <w:vAlign w:val="center"/>
          </w:tcPr>
          <w:p>
            <w:pPr>
              <w:pStyle w:val="15"/>
              <w:rPr>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kern w:val="2"/>
                <w:lang w:val="en-US" w:eastAsia="zh-CN"/>
              </w:rPr>
            </w:pPr>
            <w:r>
              <w:rPr>
                <w:rFonts w:hint="eastAsia"/>
                <w:kern w:val="2"/>
                <w:lang w:val="en-US" w:eastAsia="zh-CN"/>
              </w:rPr>
              <w:t>13</w:t>
            </w:r>
          </w:p>
        </w:tc>
        <w:tc>
          <w:tcPr>
            <w:tcW w:w="4079" w:type="dxa"/>
            <w:gridSpan w:val="2"/>
            <w:tcBorders>
              <w:top w:val="single" w:color="auto" w:sz="4" w:space="0"/>
              <w:left w:val="single" w:color="auto" w:sz="4" w:space="0"/>
              <w:bottom w:val="single" w:color="auto" w:sz="4" w:space="0"/>
              <w:right w:val="single" w:color="auto" w:sz="4" w:space="0"/>
            </w:tcBorders>
            <w:vAlign w:val="center"/>
          </w:tcPr>
          <w:p>
            <w:pPr>
              <w:pStyle w:val="15"/>
              <w:jc w:val="center"/>
              <w:rPr>
                <w:kern w:val="2"/>
                <w:sz w:val="24"/>
                <w:szCs w:val="24"/>
              </w:rPr>
            </w:pPr>
            <w:r>
              <w:rPr>
                <w:rFonts w:hint="eastAsia"/>
                <w:kern w:val="2"/>
                <w:sz w:val="24"/>
                <w:szCs w:val="24"/>
              </w:rPr>
              <w:t>红叶石楠(地径5cm，高度2m，冠幅0.9m以上）</w:t>
            </w:r>
          </w:p>
        </w:tc>
        <w:tc>
          <w:tcPr>
            <w:tcW w:w="71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株</w:t>
            </w:r>
          </w:p>
        </w:tc>
        <w:tc>
          <w:tcPr>
            <w:tcW w:w="94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1359</w:t>
            </w:r>
          </w:p>
        </w:tc>
        <w:tc>
          <w:tcPr>
            <w:tcW w:w="1390" w:type="dxa"/>
            <w:tcBorders>
              <w:top w:val="single" w:color="auto" w:sz="4" w:space="0"/>
              <w:left w:val="single" w:color="auto" w:sz="4" w:space="0"/>
              <w:bottom w:val="single" w:color="auto" w:sz="4" w:space="0"/>
              <w:right w:val="single" w:color="auto" w:sz="4" w:space="0"/>
            </w:tcBorders>
          </w:tcPr>
          <w:p>
            <w:pPr>
              <w:pStyle w:val="15"/>
              <w:rPr>
                <w:kern w:val="2"/>
                <w:sz w:val="24"/>
                <w:szCs w:val="24"/>
              </w:rPr>
            </w:pPr>
          </w:p>
        </w:tc>
        <w:tc>
          <w:tcPr>
            <w:tcW w:w="1047" w:type="dxa"/>
            <w:tcBorders>
              <w:top w:val="single" w:color="auto" w:sz="4" w:space="0"/>
              <w:left w:val="single" w:color="auto" w:sz="4" w:space="0"/>
              <w:bottom w:val="single" w:color="auto" w:sz="4" w:space="0"/>
              <w:right w:val="single" w:color="auto" w:sz="4" w:space="0"/>
            </w:tcBorders>
          </w:tcPr>
          <w:p>
            <w:pPr>
              <w:pStyle w:val="15"/>
              <w:ind w:right="-6" w:rightChars="-3"/>
              <w:rPr>
                <w:kern w:val="2"/>
                <w:sz w:val="24"/>
                <w:szCs w:val="24"/>
              </w:rPr>
            </w:pPr>
          </w:p>
        </w:tc>
        <w:tc>
          <w:tcPr>
            <w:tcW w:w="1294" w:type="dxa"/>
            <w:tcBorders>
              <w:top w:val="single" w:color="auto" w:sz="4" w:space="0"/>
              <w:left w:val="single" w:color="auto" w:sz="4" w:space="0"/>
              <w:bottom w:val="single" w:color="auto" w:sz="4" w:space="0"/>
              <w:right w:val="single" w:color="auto" w:sz="4" w:space="0"/>
            </w:tcBorders>
            <w:vAlign w:val="center"/>
          </w:tcPr>
          <w:p>
            <w:pPr>
              <w:pStyle w:val="15"/>
              <w:rPr>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kern w:val="2"/>
                <w:lang w:val="en-US" w:eastAsia="zh-CN"/>
              </w:rPr>
            </w:pPr>
            <w:r>
              <w:rPr>
                <w:rFonts w:hint="eastAsia"/>
                <w:kern w:val="2"/>
                <w:lang w:val="en-US" w:eastAsia="zh-CN"/>
              </w:rPr>
              <w:t>14</w:t>
            </w:r>
          </w:p>
        </w:tc>
        <w:tc>
          <w:tcPr>
            <w:tcW w:w="4079" w:type="dxa"/>
            <w:gridSpan w:val="2"/>
            <w:tcBorders>
              <w:top w:val="single" w:color="auto" w:sz="4" w:space="0"/>
              <w:left w:val="single" w:color="auto" w:sz="4" w:space="0"/>
              <w:bottom w:val="single" w:color="auto" w:sz="4" w:space="0"/>
              <w:right w:val="single" w:color="auto" w:sz="4" w:space="0"/>
            </w:tcBorders>
            <w:vAlign w:val="center"/>
          </w:tcPr>
          <w:p>
            <w:pPr>
              <w:pStyle w:val="15"/>
              <w:jc w:val="center"/>
              <w:rPr>
                <w:kern w:val="2"/>
                <w:sz w:val="24"/>
                <w:szCs w:val="24"/>
              </w:rPr>
            </w:pPr>
            <w:r>
              <w:rPr>
                <w:rFonts w:hint="eastAsia"/>
                <w:kern w:val="2"/>
                <w:sz w:val="24"/>
                <w:szCs w:val="24"/>
              </w:rPr>
              <w:t>红叶石楠球（高度1m，冠幅1m）</w:t>
            </w:r>
          </w:p>
        </w:tc>
        <w:tc>
          <w:tcPr>
            <w:tcW w:w="71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株</w:t>
            </w:r>
          </w:p>
        </w:tc>
        <w:tc>
          <w:tcPr>
            <w:tcW w:w="94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621</w:t>
            </w:r>
          </w:p>
        </w:tc>
        <w:tc>
          <w:tcPr>
            <w:tcW w:w="1390" w:type="dxa"/>
            <w:tcBorders>
              <w:top w:val="single" w:color="auto" w:sz="4" w:space="0"/>
              <w:left w:val="single" w:color="auto" w:sz="4" w:space="0"/>
              <w:bottom w:val="single" w:color="auto" w:sz="4" w:space="0"/>
              <w:right w:val="single" w:color="auto" w:sz="4" w:space="0"/>
            </w:tcBorders>
          </w:tcPr>
          <w:p>
            <w:pPr>
              <w:pStyle w:val="15"/>
              <w:rPr>
                <w:kern w:val="2"/>
                <w:sz w:val="24"/>
                <w:szCs w:val="24"/>
              </w:rPr>
            </w:pPr>
          </w:p>
        </w:tc>
        <w:tc>
          <w:tcPr>
            <w:tcW w:w="1047" w:type="dxa"/>
            <w:tcBorders>
              <w:top w:val="single" w:color="auto" w:sz="4" w:space="0"/>
              <w:left w:val="single" w:color="auto" w:sz="4" w:space="0"/>
              <w:bottom w:val="single" w:color="auto" w:sz="4" w:space="0"/>
              <w:right w:val="single" w:color="auto" w:sz="4" w:space="0"/>
            </w:tcBorders>
          </w:tcPr>
          <w:p>
            <w:pPr>
              <w:pStyle w:val="15"/>
              <w:ind w:right="-6" w:rightChars="-3"/>
              <w:rPr>
                <w:kern w:val="2"/>
                <w:sz w:val="24"/>
                <w:szCs w:val="24"/>
              </w:rPr>
            </w:pPr>
          </w:p>
        </w:tc>
        <w:tc>
          <w:tcPr>
            <w:tcW w:w="1294" w:type="dxa"/>
            <w:tcBorders>
              <w:top w:val="single" w:color="auto" w:sz="4" w:space="0"/>
              <w:left w:val="single" w:color="auto" w:sz="4" w:space="0"/>
              <w:bottom w:val="single" w:color="auto" w:sz="4" w:space="0"/>
              <w:right w:val="single" w:color="auto" w:sz="4" w:space="0"/>
            </w:tcBorders>
            <w:vAlign w:val="center"/>
          </w:tcPr>
          <w:p>
            <w:pPr>
              <w:pStyle w:val="15"/>
              <w:rPr>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kern w:val="2"/>
                <w:lang w:val="en-US" w:eastAsia="zh-CN"/>
              </w:rPr>
            </w:pPr>
            <w:r>
              <w:rPr>
                <w:rFonts w:hint="eastAsia"/>
                <w:kern w:val="2"/>
                <w:lang w:val="en-US" w:eastAsia="zh-CN"/>
              </w:rPr>
              <w:t>15</w:t>
            </w:r>
          </w:p>
        </w:tc>
        <w:tc>
          <w:tcPr>
            <w:tcW w:w="4079" w:type="dxa"/>
            <w:gridSpan w:val="2"/>
            <w:tcBorders>
              <w:top w:val="single" w:color="auto" w:sz="4" w:space="0"/>
              <w:left w:val="single" w:color="auto" w:sz="4" w:space="0"/>
              <w:bottom w:val="single" w:color="auto" w:sz="4" w:space="0"/>
              <w:right w:val="single" w:color="auto" w:sz="4" w:space="0"/>
            </w:tcBorders>
            <w:vAlign w:val="center"/>
          </w:tcPr>
          <w:p>
            <w:pPr>
              <w:pStyle w:val="15"/>
              <w:jc w:val="center"/>
              <w:rPr>
                <w:kern w:val="2"/>
                <w:sz w:val="24"/>
                <w:szCs w:val="24"/>
              </w:rPr>
            </w:pPr>
            <w:r>
              <w:rPr>
                <w:rFonts w:hint="eastAsia"/>
                <w:kern w:val="2"/>
                <w:sz w:val="24"/>
                <w:szCs w:val="24"/>
              </w:rPr>
              <w:t>黄金叶球（高度1m，冠幅1m）</w:t>
            </w:r>
          </w:p>
        </w:tc>
        <w:tc>
          <w:tcPr>
            <w:tcW w:w="71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株</w:t>
            </w:r>
          </w:p>
        </w:tc>
        <w:tc>
          <w:tcPr>
            <w:tcW w:w="94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1081</w:t>
            </w:r>
          </w:p>
        </w:tc>
        <w:tc>
          <w:tcPr>
            <w:tcW w:w="1390" w:type="dxa"/>
            <w:tcBorders>
              <w:top w:val="single" w:color="auto" w:sz="4" w:space="0"/>
              <w:left w:val="single" w:color="auto" w:sz="4" w:space="0"/>
              <w:bottom w:val="single" w:color="auto" w:sz="4" w:space="0"/>
              <w:right w:val="single" w:color="auto" w:sz="4" w:space="0"/>
            </w:tcBorders>
          </w:tcPr>
          <w:p>
            <w:pPr>
              <w:pStyle w:val="15"/>
              <w:rPr>
                <w:kern w:val="2"/>
                <w:sz w:val="24"/>
                <w:szCs w:val="24"/>
              </w:rPr>
            </w:pPr>
          </w:p>
        </w:tc>
        <w:tc>
          <w:tcPr>
            <w:tcW w:w="1047" w:type="dxa"/>
            <w:tcBorders>
              <w:top w:val="single" w:color="auto" w:sz="4" w:space="0"/>
              <w:left w:val="single" w:color="auto" w:sz="4" w:space="0"/>
              <w:bottom w:val="single" w:color="auto" w:sz="4" w:space="0"/>
              <w:right w:val="single" w:color="auto" w:sz="4" w:space="0"/>
            </w:tcBorders>
          </w:tcPr>
          <w:p>
            <w:pPr>
              <w:pStyle w:val="15"/>
              <w:ind w:right="-6" w:rightChars="-3"/>
              <w:rPr>
                <w:kern w:val="2"/>
                <w:sz w:val="24"/>
                <w:szCs w:val="24"/>
              </w:rPr>
            </w:pPr>
          </w:p>
        </w:tc>
        <w:tc>
          <w:tcPr>
            <w:tcW w:w="1294" w:type="dxa"/>
            <w:tcBorders>
              <w:top w:val="single" w:color="auto" w:sz="4" w:space="0"/>
              <w:left w:val="single" w:color="auto" w:sz="4" w:space="0"/>
              <w:bottom w:val="single" w:color="auto" w:sz="4" w:space="0"/>
              <w:right w:val="single" w:color="auto" w:sz="4" w:space="0"/>
            </w:tcBorders>
            <w:vAlign w:val="center"/>
          </w:tcPr>
          <w:p>
            <w:pPr>
              <w:pStyle w:val="15"/>
              <w:rPr>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kern w:val="2"/>
                <w:lang w:val="en-US" w:eastAsia="zh-CN"/>
              </w:rPr>
            </w:pPr>
            <w:r>
              <w:rPr>
                <w:rFonts w:hint="eastAsia"/>
                <w:kern w:val="2"/>
                <w:lang w:val="en-US" w:eastAsia="zh-CN"/>
              </w:rPr>
              <w:t>16</w:t>
            </w:r>
          </w:p>
        </w:tc>
        <w:tc>
          <w:tcPr>
            <w:tcW w:w="4079" w:type="dxa"/>
            <w:gridSpan w:val="2"/>
            <w:tcBorders>
              <w:top w:val="single" w:color="auto" w:sz="4" w:space="0"/>
              <w:left w:val="single" w:color="auto" w:sz="4" w:space="0"/>
              <w:bottom w:val="single" w:color="auto" w:sz="4" w:space="0"/>
              <w:right w:val="single" w:color="auto" w:sz="4" w:space="0"/>
            </w:tcBorders>
            <w:vAlign w:val="center"/>
          </w:tcPr>
          <w:p>
            <w:pPr>
              <w:pStyle w:val="15"/>
              <w:jc w:val="center"/>
              <w:rPr>
                <w:kern w:val="2"/>
                <w:sz w:val="24"/>
                <w:szCs w:val="24"/>
              </w:rPr>
            </w:pPr>
            <w:r>
              <w:rPr>
                <w:rFonts w:hint="eastAsia"/>
                <w:kern w:val="2"/>
                <w:sz w:val="24"/>
                <w:szCs w:val="24"/>
              </w:rPr>
              <w:t>夹竹桃(高度0.8m，3分叉以上)</w:t>
            </w:r>
          </w:p>
        </w:tc>
        <w:tc>
          <w:tcPr>
            <w:tcW w:w="71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株</w:t>
            </w:r>
          </w:p>
        </w:tc>
        <w:tc>
          <w:tcPr>
            <w:tcW w:w="94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1629</w:t>
            </w:r>
          </w:p>
        </w:tc>
        <w:tc>
          <w:tcPr>
            <w:tcW w:w="1390" w:type="dxa"/>
            <w:tcBorders>
              <w:top w:val="single" w:color="auto" w:sz="4" w:space="0"/>
              <w:left w:val="single" w:color="auto" w:sz="4" w:space="0"/>
              <w:bottom w:val="single" w:color="auto" w:sz="4" w:space="0"/>
              <w:right w:val="single" w:color="auto" w:sz="4" w:space="0"/>
            </w:tcBorders>
          </w:tcPr>
          <w:p>
            <w:pPr>
              <w:pStyle w:val="15"/>
              <w:rPr>
                <w:kern w:val="2"/>
                <w:sz w:val="24"/>
                <w:szCs w:val="24"/>
              </w:rPr>
            </w:pPr>
          </w:p>
        </w:tc>
        <w:tc>
          <w:tcPr>
            <w:tcW w:w="1047" w:type="dxa"/>
            <w:tcBorders>
              <w:top w:val="single" w:color="auto" w:sz="4" w:space="0"/>
              <w:left w:val="single" w:color="auto" w:sz="4" w:space="0"/>
              <w:bottom w:val="single" w:color="auto" w:sz="4" w:space="0"/>
              <w:right w:val="single" w:color="auto" w:sz="4" w:space="0"/>
            </w:tcBorders>
          </w:tcPr>
          <w:p>
            <w:pPr>
              <w:pStyle w:val="15"/>
              <w:ind w:right="-6" w:rightChars="-3"/>
              <w:rPr>
                <w:kern w:val="2"/>
                <w:sz w:val="24"/>
                <w:szCs w:val="24"/>
              </w:rPr>
            </w:pPr>
          </w:p>
        </w:tc>
        <w:tc>
          <w:tcPr>
            <w:tcW w:w="1294" w:type="dxa"/>
            <w:tcBorders>
              <w:top w:val="single" w:color="auto" w:sz="4" w:space="0"/>
              <w:left w:val="single" w:color="auto" w:sz="4" w:space="0"/>
              <w:bottom w:val="single" w:color="auto" w:sz="4" w:space="0"/>
              <w:right w:val="single" w:color="auto" w:sz="4" w:space="0"/>
            </w:tcBorders>
            <w:vAlign w:val="center"/>
          </w:tcPr>
          <w:p>
            <w:pPr>
              <w:pStyle w:val="15"/>
              <w:rPr>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kern w:val="2"/>
                <w:lang w:val="en-US" w:eastAsia="zh-CN"/>
              </w:rPr>
            </w:pPr>
            <w:r>
              <w:rPr>
                <w:rFonts w:hint="eastAsia"/>
                <w:kern w:val="2"/>
                <w:lang w:val="en-US" w:eastAsia="zh-CN"/>
              </w:rPr>
              <w:t>17</w:t>
            </w:r>
          </w:p>
        </w:tc>
        <w:tc>
          <w:tcPr>
            <w:tcW w:w="4079" w:type="dxa"/>
            <w:gridSpan w:val="2"/>
            <w:tcBorders>
              <w:top w:val="single" w:color="auto" w:sz="4" w:space="0"/>
              <w:left w:val="single" w:color="auto" w:sz="4" w:space="0"/>
              <w:bottom w:val="single" w:color="auto" w:sz="4" w:space="0"/>
              <w:right w:val="single" w:color="auto" w:sz="4" w:space="0"/>
            </w:tcBorders>
            <w:vAlign w:val="center"/>
          </w:tcPr>
          <w:p>
            <w:pPr>
              <w:pStyle w:val="15"/>
              <w:jc w:val="center"/>
              <w:rPr>
                <w:kern w:val="2"/>
                <w:sz w:val="24"/>
                <w:szCs w:val="24"/>
              </w:rPr>
            </w:pPr>
            <w:r>
              <w:rPr>
                <w:rFonts w:hint="eastAsia"/>
                <w:kern w:val="2"/>
                <w:sz w:val="24"/>
                <w:szCs w:val="24"/>
              </w:rPr>
              <w:t>三角梅(高度0.5m以上，袋苗)</w:t>
            </w:r>
          </w:p>
        </w:tc>
        <w:tc>
          <w:tcPr>
            <w:tcW w:w="71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株</w:t>
            </w:r>
          </w:p>
        </w:tc>
        <w:tc>
          <w:tcPr>
            <w:tcW w:w="94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2971</w:t>
            </w:r>
          </w:p>
        </w:tc>
        <w:tc>
          <w:tcPr>
            <w:tcW w:w="1390" w:type="dxa"/>
            <w:tcBorders>
              <w:top w:val="single" w:color="auto" w:sz="4" w:space="0"/>
              <w:left w:val="single" w:color="auto" w:sz="4" w:space="0"/>
              <w:bottom w:val="single" w:color="auto" w:sz="4" w:space="0"/>
              <w:right w:val="single" w:color="auto" w:sz="4" w:space="0"/>
            </w:tcBorders>
          </w:tcPr>
          <w:p>
            <w:pPr>
              <w:pStyle w:val="15"/>
              <w:rPr>
                <w:kern w:val="2"/>
                <w:sz w:val="24"/>
                <w:szCs w:val="24"/>
              </w:rPr>
            </w:pPr>
          </w:p>
        </w:tc>
        <w:tc>
          <w:tcPr>
            <w:tcW w:w="1047" w:type="dxa"/>
            <w:tcBorders>
              <w:top w:val="single" w:color="auto" w:sz="4" w:space="0"/>
              <w:left w:val="single" w:color="auto" w:sz="4" w:space="0"/>
              <w:bottom w:val="single" w:color="auto" w:sz="4" w:space="0"/>
              <w:right w:val="single" w:color="auto" w:sz="4" w:space="0"/>
            </w:tcBorders>
          </w:tcPr>
          <w:p>
            <w:pPr>
              <w:pStyle w:val="15"/>
              <w:ind w:right="-6" w:rightChars="-3"/>
              <w:rPr>
                <w:kern w:val="2"/>
                <w:sz w:val="24"/>
                <w:szCs w:val="24"/>
              </w:rPr>
            </w:pPr>
          </w:p>
        </w:tc>
        <w:tc>
          <w:tcPr>
            <w:tcW w:w="1294" w:type="dxa"/>
            <w:tcBorders>
              <w:top w:val="single" w:color="auto" w:sz="4" w:space="0"/>
              <w:left w:val="single" w:color="auto" w:sz="4" w:space="0"/>
              <w:bottom w:val="single" w:color="auto" w:sz="4" w:space="0"/>
              <w:right w:val="single" w:color="auto" w:sz="4" w:space="0"/>
            </w:tcBorders>
            <w:vAlign w:val="center"/>
          </w:tcPr>
          <w:p>
            <w:pPr>
              <w:pStyle w:val="15"/>
              <w:rPr>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kern w:val="2"/>
                <w:lang w:val="en-US" w:eastAsia="zh-CN"/>
              </w:rPr>
            </w:pPr>
            <w:r>
              <w:rPr>
                <w:rFonts w:hint="eastAsia"/>
                <w:kern w:val="2"/>
                <w:lang w:val="en-US" w:eastAsia="zh-CN"/>
              </w:rPr>
              <w:t>18</w:t>
            </w:r>
          </w:p>
        </w:tc>
        <w:tc>
          <w:tcPr>
            <w:tcW w:w="4079" w:type="dxa"/>
            <w:gridSpan w:val="2"/>
            <w:tcBorders>
              <w:top w:val="single" w:color="auto" w:sz="4" w:space="0"/>
              <w:left w:val="single" w:color="auto" w:sz="4" w:space="0"/>
              <w:bottom w:val="single" w:color="auto" w:sz="4" w:space="0"/>
              <w:right w:val="single" w:color="auto" w:sz="4" w:space="0"/>
            </w:tcBorders>
            <w:vAlign w:val="center"/>
          </w:tcPr>
          <w:p>
            <w:pPr>
              <w:pStyle w:val="15"/>
              <w:jc w:val="center"/>
              <w:rPr>
                <w:kern w:val="2"/>
                <w:sz w:val="24"/>
                <w:szCs w:val="24"/>
              </w:rPr>
            </w:pPr>
            <w:r>
              <w:rPr>
                <w:rFonts w:hint="eastAsia"/>
                <w:kern w:val="2"/>
                <w:sz w:val="24"/>
                <w:szCs w:val="24"/>
              </w:rPr>
              <w:t>撒播草种</w:t>
            </w:r>
          </w:p>
        </w:tc>
        <w:tc>
          <w:tcPr>
            <w:tcW w:w="71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w:t>
            </w:r>
          </w:p>
        </w:tc>
        <w:tc>
          <w:tcPr>
            <w:tcW w:w="94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8137</w:t>
            </w:r>
          </w:p>
        </w:tc>
        <w:tc>
          <w:tcPr>
            <w:tcW w:w="1390" w:type="dxa"/>
            <w:tcBorders>
              <w:top w:val="single" w:color="auto" w:sz="4" w:space="0"/>
              <w:left w:val="single" w:color="auto" w:sz="4" w:space="0"/>
              <w:bottom w:val="single" w:color="auto" w:sz="4" w:space="0"/>
              <w:right w:val="single" w:color="auto" w:sz="4" w:space="0"/>
            </w:tcBorders>
          </w:tcPr>
          <w:p>
            <w:pPr>
              <w:pStyle w:val="15"/>
              <w:rPr>
                <w:kern w:val="2"/>
                <w:sz w:val="24"/>
                <w:szCs w:val="24"/>
              </w:rPr>
            </w:pPr>
          </w:p>
        </w:tc>
        <w:tc>
          <w:tcPr>
            <w:tcW w:w="1047" w:type="dxa"/>
            <w:tcBorders>
              <w:top w:val="single" w:color="auto" w:sz="4" w:space="0"/>
              <w:left w:val="single" w:color="auto" w:sz="4" w:space="0"/>
              <w:bottom w:val="single" w:color="auto" w:sz="4" w:space="0"/>
              <w:right w:val="single" w:color="auto" w:sz="4" w:space="0"/>
            </w:tcBorders>
          </w:tcPr>
          <w:p>
            <w:pPr>
              <w:pStyle w:val="15"/>
              <w:ind w:right="-6" w:rightChars="-3"/>
              <w:rPr>
                <w:kern w:val="2"/>
                <w:sz w:val="24"/>
                <w:szCs w:val="24"/>
              </w:rPr>
            </w:pPr>
          </w:p>
        </w:tc>
        <w:tc>
          <w:tcPr>
            <w:tcW w:w="1294" w:type="dxa"/>
            <w:tcBorders>
              <w:top w:val="single" w:color="auto" w:sz="4" w:space="0"/>
              <w:left w:val="single" w:color="auto" w:sz="4" w:space="0"/>
              <w:bottom w:val="single" w:color="auto" w:sz="4" w:space="0"/>
              <w:right w:val="single" w:color="auto" w:sz="4" w:space="0"/>
            </w:tcBorders>
            <w:vAlign w:val="center"/>
          </w:tcPr>
          <w:p>
            <w:pPr>
              <w:pStyle w:val="15"/>
              <w:rPr>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eastAsia="宋体"/>
                <w:kern w:val="2"/>
                <w:lang w:val="en-US" w:eastAsia="zh-CN"/>
              </w:rPr>
            </w:pPr>
            <w:r>
              <w:rPr>
                <w:rFonts w:hint="eastAsia"/>
                <w:kern w:val="2"/>
                <w:lang w:val="en-US" w:eastAsia="zh-CN"/>
              </w:rPr>
              <w:t>19</w:t>
            </w:r>
          </w:p>
        </w:tc>
        <w:tc>
          <w:tcPr>
            <w:tcW w:w="4079" w:type="dxa"/>
            <w:gridSpan w:val="2"/>
            <w:tcBorders>
              <w:top w:val="single" w:color="auto" w:sz="4" w:space="0"/>
              <w:left w:val="single" w:color="auto" w:sz="4" w:space="0"/>
              <w:bottom w:val="single" w:color="auto" w:sz="4" w:space="0"/>
              <w:right w:val="single" w:color="auto" w:sz="4" w:space="0"/>
            </w:tcBorders>
            <w:vAlign w:val="bottom"/>
          </w:tcPr>
          <w:p>
            <w:pPr>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锚杆φ14mm（1.21kg/m）</w:t>
            </w:r>
          </w:p>
          <w:p>
            <w:pPr>
              <w:pStyle w:val="15"/>
              <w:jc w:val="center"/>
              <w:rPr>
                <w:kern w:val="2"/>
                <w:sz w:val="24"/>
                <w:szCs w:val="24"/>
              </w:rPr>
            </w:pPr>
          </w:p>
        </w:tc>
        <w:tc>
          <w:tcPr>
            <w:tcW w:w="716" w:type="dxa"/>
            <w:tcBorders>
              <w:top w:val="single" w:color="auto" w:sz="4" w:space="0"/>
              <w:left w:val="single" w:color="auto" w:sz="4" w:space="0"/>
              <w:bottom w:val="single" w:color="auto" w:sz="4" w:space="0"/>
              <w:right w:val="single" w:color="auto" w:sz="4" w:space="0"/>
            </w:tcBorders>
            <w:vAlign w:val="center"/>
          </w:tcPr>
          <w:p>
            <w:pPr>
              <w:pStyle w:val="15"/>
              <w:jc w:val="center"/>
              <w:rPr>
                <w:kern w:val="2"/>
                <w:sz w:val="24"/>
                <w:szCs w:val="24"/>
              </w:rPr>
            </w:pPr>
            <w:r>
              <w:rPr>
                <w:rFonts w:hint="eastAsia" w:asciiTheme="minorEastAsia" w:hAnsiTheme="minorEastAsia" w:eastAsiaTheme="minorEastAsia" w:cstheme="minorEastAsia"/>
                <w:kern w:val="0"/>
                <w:sz w:val="24"/>
                <w:szCs w:val="24"/>
                <w:lang w:val="en-US" w:eastAsia="zh-CN" w:bidi="ar-SA"/>
              </w:rPr>
              <w:t>m</w:t>
            </w:r>
          </w:p>
        </w:tc>
        <w:tc>
          <w:tcPr>
            <w:tcW w:w="94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default"/>
                <w:kern w:val="2"/>
                <w:sz w:val="24"/>
                <w:szCs w:val="24"/>
                <w:lang w:val="en-US"/>
              </w:rPr>
            </w:pPr>
            <w:r>
              <w:rPr>
                <w:rFonts w:hint="eastAsia" w:asciiTheme="minorEastAsia" w:hAnsiTheme="minorEastAsia" w:eastAsiaTheme="minorEastAsia" w:cstheme="minorEastAsia"/>
                <w:kern w:val="0"/>
                <w:sz w:val="18"/>
                <w:szCs w:val="18"/>
                <w:lang w:val="en-US" w:eastAsia="zh-CN" w:bidi="ar-SA"/>
              </w:rPr>
              <w:t>23680</w:t>
            </w:r>
          </w:p>
        </w:tc>
        <w:tc>
          <w:tcPr>
            <w:tcW w:w="1390" w:type="dxa"/>
            <w:tcBorders>
              <w:top w:val="single" w:color="auto" w:sz="4" w:space="0"/>
              <w:left w:val="single" w:color="auto" w:sz="4" w:space="0"/>
              <w:bottom w:val="single" w:color="auto" w:sz="4" w:space="0"/>
              <w:right w:val="single" w:color="auto" w:sz="4" w:space="0"/>
            </w:tcBorders>
          </w:tcPr>
          <w:p>
            <w:pPr>
              <w:pStyle w:val="15"/>
              <w:rPr>
                <w:kern w:val="2"/>
                <w:sz w:val="24"/>
                <w:szCs w:val="24"/>
              </w:rPr>
            </w:pPr>
          </w:p>
        </w:tc>
        <w:tc>
          <w:tcPr>
            <w:tcW w:w="1047" w:type="dxa"/>
            <w:tcBorders>
              <w:top w:val="single" w:color="auto" w:sz="4" w:space="0"/>
              <w:left w:val="single" w:color="auto" w:sz="4" w:space="0"/>
              <w:bottom w:val="single" w:color="auto" w:sz="4" w:space="0"/>
              <w:right w:val="single" w:color="auto" w:sz="4" w:space="0"/>
            </w:tcBorders>
          </w:tcPr>
          <w:p>
            <w:pPr>
              <w:pStyle w:val="15"/>
              <w:ind w:right="-6" w:rightChars="-3"/>
              <w:rPr>
                <w:kern w:val="2"/>
                <w:sz w:val="24"/>
                <w:szCs w:val="24"/>
              </w:rPr>
            </w:pPr>
          </w:p>
        </w:tc>
        <w:tc>
          <w:tcPr>
            <w:tcW w:w="1294" w:type="dxa"/>
            <w:tcBorders>
              <w:top w:val="single" w:color="auto" w:sz="4" w:space="0"/>
              <w:left w:val="single" w:color="auto" w:sz="4" w:space="0"/>
              <w:bottom w:val="single" w:color="auto" w:sz="4" w:space="0"/>
              <w:right w:val="single" w:color="auto" w:sz="4" w:space="0"/>
            </w:tcBorders>
            <w:vAlign w:val="center"/>
          </w:tcPr>
          <w:p>
            <w:pPr>
              <w:pStyle w:val="15"/>
              <w:rPr>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eastAsia="宋体"/>
                <w:kern w:val="2"/>
                <w:lang w:val="en-US" w:eastAsia="zh-CN"/>
              </w:rPr>
            </w:pPr>
            <w:r>
              <w:rPr>
                <w:rFonts w:hint="eastAsia"/>
                <w:kern w:val="2"/>
                <w:lang w:val="en-US" w:eastAsia="zh-CN"/>
              </w:rPr>
              <w:t>20</w:t>
            </w:r>
          </w:p>
        </w:tc>
        <w:tc>
          <w:tcPr>
            <w:tcW w:w="4079" w:type="dxa"/>
            <w:gridSpan w:val="2"/>
            <w:tcBorders>
              <w:top w:val="single" w:color="auto" w:sz="4" w:space="0"/>
              <w:left w:val="single" w:color="auto" w:sz="4" w:space="0"/>
              <w:bottom w:val="single" w:color="auto" w:sz="4" w:space="0"/>
              <w:right w:val="single" w:color="auto" w:sz="4" w:space="0"/>
            </w:tcBorders>
            <w:vAlign w:val="bottom"/>
          </w:tcPr>
          <w:p>
            <w:pPr>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锚杆φ20mm（2.466kg/m）</w:t>
            </w:r>
          </w:p>
          <w:p>
            <w:pPr>
              <w:pStyle w:val="15"/>
              <w:jc w:val="center"/>
              <w:rPr>
                <w:kern w:val="2"/>
                <w:sz w:val="24"/>
                <w:szCs w:val="24"/>
              </w:rPr>
            </w:pPr>
          </w:p>
        </w:tc>
        <w:tc>
          <w:tcPr>
            <w:tcW w:w="7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m</w:t>
            </w:r>
          </w:p>
          <w:p>
            <w:pPr>
              <w:pStyle w:val="15"/>
              <w:jc w:val="center"/>
              <w:rPr>
                <w:kern w:val="2"/>
                <w:sz w:val="24"/>
                <w:szCs w:val="24"/>
              </w:rPr>
            </w:pPr>
          </w:p>
        </w:tc>
        <w:tc>
          <w:tcPr>
            <w:tcW w:w="94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24555</w:t>
            </w:r>
          </w:p>
          <w:p>
            <w:pPr>
              <w:pStyle w:val="15"/>
              <w:jc w:val="center"/>
              <w:rPr>
                <w:kern w:val="2"/>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5"/>
              <w:rPr>
                <w:kern w:val="2"/>
                <w:sz w:val="24"/>
                <w:szCs w:val="24"/>
              </w:rPr>
            </w:pPr>
          </w:p>
        </w:tc>
        <w:tc>
          <w:tcPr>
            <w:tcW w:w="1047" w:type="dxa"/>
            <w:tcBorders>
              <w:top w:val="single" w:color="auto" w:sz="4" w:space="0"/>
              <w:left w:val="single" w:color="auto" w:sz="4" w:space="0"/>
              <w:bottom w:val="single" w:color="auto" w:sz="4" w:space="0"/>
              <w:right w:val="single" w:color="auto" w:sz="4" w:space="0"/>
            </w:tcBorders>
          </w:tcPr>
          <w:p>
            <w:pPr>
              <w:pStyle w:val="15"/>
              <w:ind w:right="-6" w:rightChars="-3"/>
              <w:rPr>
                <w:kern w:val="2"/>
                <w:sz w:val="24"/>
                <w:szCs w:val="24"/>
              </w:rPr>
            </w:pPr>
          </w:p>
        </w:tc>
        <w:tc>
          <w:tcPr>
            <w:tcW w:w="1294" w:type="dxa"/>
            <w:tcBorders>
              <w:top w:val="single" w:color="auto" w:sz="4" w:space="0"/>
              <w:left w:val="single" w:color="auto" w:sz="4" w:space="0"/>
              <w:bottom w:val="single" w:color="auto" w:sz="4" w:space="0"/>
              <w:right w:val="single" w:color="auto" w:sz="4" w:space="0"/>
            </w:tcBorders>
            <w:vAlign w:val="center"/>
          </w:tcPr>
          <w:p>
            <w:pPr>
              <w:pStyle w:val="15"/>
              <w:rPr>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kern w:val="2"/>
                <w:lang w:val="en-US" w:eastAsia="zh-CN"/>
              </w:rPr>
            </w:pPr>
            <w:r>
              <w:rPr>
                <w:rFonts w:hint="eastAsia"/>
                <w:kern w:val="2"/>
                <w:lang w:val="en-US" w:eastAsia="zh-CN"/>
              </w:rPr>
              <w:t>21</w:t>
            </w:r>
          </w:p>
        </w:tc>
        <w:tc>
          <w:tcPr>
            <w:tcW w:w="4079" w:type="dxa"/>
            <w:gridSpan w:val="2"/>
            <w:tcBorders>
              <w:top w:val="single" w:color="auto" w:sz="4" w:space="0"/>
              <w:left w:val="single" w:color="auto" w:sz="4" w:space="0"/>
              <w:bottom w:val="single" w:color="auto" w:sz="4" w:space="0"/>
              <w:right w:val="single" w:color="auto" w:sz="4" w:space="0"/>
            </w:tcBorders>
            <w:vAlign w:val="bottom"/>
          </w:tcPr>
          <w:p>
            <w:pPr>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钢筋网</w:t>
            </w:r>
          </w:p>
          <w:p>
            <w:pPr>
              <w:pStyle w:val="15"/>
              <w:jc w:val="center"/>
              <w:rPr>
                <w:kern w:val="2"/>
                <w:sz w:val="24"/>
                <w:szCs w:val="24"/>
              </w:rPr>
            </w:pPr>
          </w:p>
        </w:tc>
        <w:tc>
          <w:tcPr>
            <w:tcW w:w="71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SA"/>
              </w:rPr>
              <w:t>kg</w:t>
            </w:r>
          </w:p>
        </w:tc>
        <w:tc>
          <w:tcPr>
            <w:tcW w:w="94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kern w:val="0"/>
                <w:sz w:val="18"/>
                <w:szCs w:val="18"/>
                <w:lang w:val="en-US" w:eastAsia="zh-CN" w:bidi="ar-SA"/>
              </w:rPr>
              <w:t>4474.0</w:t>
            </w:r>
          </w:p>
        </w:tc>
        <w:tc>
          <w:tcPr>
            <w:tcW w:w="1390" w:type="dxa"/>
            <w:tcBorders>
              <w:top w:val="single" w:color="auto" w:sz="4" w:space="0"/>
              <w:left w:val="single" w:color="auto" w:sz="4" w:space="0"/>
              <w:bottom w:val="single" w:color="auto" w:sz="4" w:space="0"/>
              <w:right w:val="single" w:color="auto" w:sz="4" w:space="0"/>
            </w:tcBorders>
          </w:tcPr>
          <w:p>
            <w:pPr>
              <w:pStyle w:val="15"/>
              <w:rPr>
                <w:kern w:val="2"/>
                <w:sz w:val="24"/>
                <w:szCs w:val="24"/>
              </w:rPr>
            </w:pPr>
          </w:p>
        </w:tc>
        <w:tc>
          <w:tcPr>
            <w:tcW w:w="1047" w:type="dxa"/>
            <w:tcBorders>
              <w:top w:val="single" w:color="auto" w:sz="4" w:space="0"/>
              <w:left w:val="single" w:color="auto" w:sz="4" w:space="0"/>
              <w:bottom w:val="single" w:color="auto" w:sz="4" w:space="0"/>
              <w:right w:val="single" w:color="auto" w:sz="4" w:space="0"/>
            </w:tcBorders>
          </w:tcPr>
          <w:p>
            <w:pPr>
              <w:pStyle w:val="15"/>
              <w:ind w:right="-6" w:rightChars="-3"/>
              <w:rPr>
                <w:kern w:val="2"/>
                <w:sz w:val="24"/>
                <w:szCs w:val="24"/>
              </w:rPr>
            </w:pPr>
          </w:p>
        </w:tc>
        <w:tc>
          <w:tcPr>
            <w:tcW w:w="1294" w:type="dxa"/>
            <w:tcBorders>
              <w:top w:val="single" w:color="auto" w:sz="4" w:space="0"/>
              <w:left w:val="single" w:color="auto" w:sz="4" w:space="0"/>
              <w:bottom w:val="single" w:color="auto" w:sz="4" w:space="0"/>
              <w:right w:val="single" w:color="auto" w:sz="4" w:space="0"/>
            </w:tcBorders>
            <w:vAlign w:val="center"/>
          </w:tcPr>
          <w:p>
            <w:pPr>
              <w:pStyle w:val="15"/>
              <w:rPr>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eastAsia="宋体"/>
                <w:kern w:val="2"/>
                <w:lang w:val="en-US" w:eastAsia="zh-CN"/>
              </w:rPr>
            </w:pPr>
            <w:r>
              <w:rPr>
                <w:rFonts w:hint="eastAsia"/>
                <w:kern w:val="2"/>
                <w:lang w:val="en-US" w:eastAsia="zh-CN"/>
              </w:rPr>
              <w:t>22</w:t>
            </w:r>
          </w:p>
        </w:tc>
        <w:tc>
          <w:tcPr>
            <w:tcW w:w="4079" w:type="dxa"/>
            <w:gridSpan w:val="2"/>
            <w:tcBorders>
              <w:top w:val="single" w:color="auto" w:sz="4" w:space="0"/>
              <w:left w:val="single" w:color="auto" w:sz="4" w:space="0"/>
              <w:bottom w:val="single" w:color="auto" w:sz="4" w:space="0"/>
              <w:right w:val="single" w:color="auto" w:sz="4" w:space="0"/>
            </w:tcBorders>
            <w:vAlign w:val="bottom"/>
          </w:tcPr>
          <w:p>
            <w:pPr>
              <w:jc w:val="center"/>
              <w:rPr>
                <w:rFonts w:hint="default"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C20砼锚座(40cm*40cm*10cm)</w:t>
            </w:r>
          </w:p>
          <w:p>
            <w:pPr>
              <w:pStyle w:val="15"/>
              <w:jc w:val="center"/>
              <w:rPr>
                <w:kern w:val="2"/>
                <w:sz w:val="24"/>
                <w:szCs w:val="24"/>
              </w:rPr>
            </w:pPr>
          </w:p>
        </w:tc>
        <w:tc>
          <w:tcPr>
            <w:tcW w:w="716" w:type="dxa"/>
            <w:tcBorders>
              <w:top w:val="single" w:color="auto" w:sz="4" w:space="0"/>
              <w:left w:val="single" w:color="auto" w:sz="4" w:space="0"/>
              <w:bottom w:val="single" w:color="auto" w:sz="4" w:space="0"/>
              <w:right w:val="single" w:color="auto" w:sz="4" w:space="0"/>
            </w:tcBorders>
            <w:vAlign w:val="center"/>
          </w:tcPr>
          <w:p>
            <w:pPr>
              <w:pStyle w:val="15"/>
              <w:jc w:val="center"/>
              <w:rPr>
                <w:kern w:val="2"/>
                <w:sz w:val="24"/>
                <w:szCs w:val="24"/>
              </w:rPr>
            </w:pPr>
            <w:r>
              <w:rPr>
                <w:rFonts w:hint="eastAsia" w:asciiTheme="minorEastAsia" w:hAnsiTheme="minorEastAsia" w:eastAsiaTheme="minorEastAsia" w:cstheme="minorEastAsia"/>
                <w:kern w:val="0"/>
                <w:sz w:val="24"/>
                <w:szCs w:val="24"/>
                <w:lang w:val="en-US" w:eastAsia="zh-CN" w:bidi="ar-SA"/>
              </w:rPr>
              <w:t>个</w:t>
            </w:r>
          </w:p>
        </w:tc>
        <w:tc>
          <w:tcPr>
            <w:tcW w:w="94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default" w:eastAsia="宋体"/>
                <w:kern w:val="2"/>
                <w:sz w:val="24"/>
                <w:szCs w:val="24"/>
                <w:lang w:val="en-US" w:eastAsia="zh-CN"/>
              </w:rPr>
            </w:pPr>
            <w:r>
              <w:rPr>
                <w:rFonts w:hint="eastAsia" w:asciiTheme="minorEastAsia" w:hAnsiTheme="minorEastAsia" w:eastAsiaTheme="minorEastAsia" w:cstheme="minorEastAsia"/>
                <w:kern w:val="0"/>
                <w:sz w:val="18"/>
                <w:szCs w:val="18"/>
                <w:lang w:val="en-US" w:eastAsia="zh-CN" w:bidi="ar-SA"/>
              </w:rPr>
              <w:t>4718</w:t>
            </w:r>
          </w:p>
        </w:tc>
        <w:tc>
          <w:tcPr>
            <w:tcW w:w="1390" w:type="dxa"/>
            <w:tcBorders>
              <w:top w:val="single" w:color="auto" w:sz="4" w:space="0"/>
              <w:left w:val="single" w:color="auto" w:sz="4" w:space="0"/>
              <w:bottom w:val="single" w:color="auto" w:sz="4" w:space="0"/>
              <w:right w:val="single" w:color="auto" w:sz="4" w:space="0"/>
            </w:tcBorders>
          </w:tcPr>
          <w:p>
            <w:pPr>
              <w:pStyle w:val="15"/>
              <w:rPr>
                <w:kern w:val="2"/>
                <w:sz w:val="24"/>
                <w:szCs w:val="24"/>
              </w:rPr>
            </w:pPr>
          </w:p>
        </w:tc>
        <w:tc>
          <w:tcPr>
            <w:tcW w:w="1047" w:type="dxa"/>
            <w:tcBorders>
              <w:top w:val="single" w:color="auto" w:sz="4" w:space="0"/>
              <w:left w:val="single" w:color="auto" w:sz="4" w:space="0"/>
              <w:bottom w:val="single" w:color="auto" w:sz="4" w:space="0"/>
              <w:right w:val="single" w:color="auto" w:sz="4" w:space="0"/>
            </w:tcBorders>
          </w:tcPr>
          <w:p>
            <w:pPr>
              <w:pStyle w:val="15"/>
              <w:ind w:right="-6" w:rightChars="-3"/>
              <w:rPr>
                <w:kern w:val="2"/>
                <w:sz w:val="24"/>
                <w:szCs w:val="24"/>
              </w:rPr>
            </w:pPr>
          </w:p>
        </w:tc>
        <w:tc>
          <w:tcPr>
            <w:tcW w:w="1294" w:type="dxa"/>
            <w:tcBorders>
              <w:top w:val="single" w:color="auto" w:sz="4" w:space="0"/>
              <w:left w:val="single" w:color="auto" w:sz="4" w:space="0"/>
              <w:bottom w:val="single" w:color="auto" w:sz="4" w:space="0"/>
              <w:right w:val="single" w:color="auto" w:sz="4" w:space="0"/>
            </w:tcBorders>
            <w:vAlign w:val="center"/>
          </w:tcPr>
          <w:p>
            <w:pPr>
              <w:pStyle w:val="15"/>
              <w:jc w:val="both"/>
              <w:rPr>
                <w:rFonts w:hint="eastAsia" w:eastAsia="宋体"/>
                <w:kern w:val="2"/>
                <w:sz w:val="24"/>
                <w:szCs w:val="24"/>
                <w:lang w:val="en-US" w:eastAsia="zh-CN"/>
              </w:rPr>
            </w:pPr>
          </w:p>
        </w:tc>
      </w:tr>
    </w:tbl>
    <w:p>
      <w:pPr>
        <w:spacing w:line="500" w:lineRule="exact"/>
        <w:rPr>
          <w:rFonts w:ascii="宋体" w:hAnsi="宋体"/>
          <w:b/>
          <w:sz w:val="44"/>
          <w:szCs w:val="44"/>
        </w:rPr>
      </w:pPr>
    </w:p>
    <w:p>
      <w:pPr>
        <w:spacing w:line="500" w:lineRule="exact"/>
        <w:rPr>
          <w:rFonts w:ascii="宋体" w:hAnsi="宋体"/>
          <w:b/>
          <w:sz w:val="44"/>
          <w:szCs w:val="44"/>
        </w:rPr>
      </w:pPr>
    </w:p>
    <w:p>
      <w:pPr>
        <w:spacing w:line="360" w:lineRule="auto"/>
        <w:jc w:val="center"/>
        <w:rPr>
          <w:rFonts w:hAnsi="宋体"/>
          <w:b/>
          <w:sz w:val="44"/>
          <w:szCs w:val="44"/>
        </w:rPr>
      </w:pPr>
    </w:p>
    <w:p>
      <w:pPr>
        <w:spacing w:line="360" w:lineRule="auto"/>
        <w:jc w:val="center"/>
        <w:rPr>
          <w:rFonts w:hAnsi="宋体"/>
          <w:b/>
          <w:sz w:val="44"/>
          <w:szCs w:val="44"/>
        </w:rPr>
      </w:pPr>
    </w:p>
    <w:p>
      <w:pPr>
        <w:spacing w:line="360" w:lineRule="auto"/>
        <w:jc w:val="center"/>
        <w:rPr>
          <w:rFonts w:hAnsi="宋体"/>
          <w:b/>
          <w:sz w:val="44"/>
          <w:szCs w:val="44"/>
        </w:rPr>
      </w:pPr>
    </w:p>
    <w:p>
      <w:pPr>
        <w:spacing w:line="360" w:lineRule="auto"/>
        <w:jc w:val="center"/>
        <w:rPr>
          <w:rFonts w:hAnsi="宋体"/>
          <w:b/>
          <w:sz w:val="44"/>
          <w:szCs w:val="44"/>
        </w:rPr>
      </w:pPr>
    </w:p>
    <w:p>
      <w:pPr>
        <w:spacing w:line="360" w:lineRule="auto"/>
        <w:jc w:val="center"/>
        <w:rPr>
          <w:rFonts w:hAnsi="宋体"/>
          <w:b/>
          <w:sz w:val="44"/>
          <w:szCs w:val="44"/>
        </w:rPr>
      </w:pPr>
    </w:p>
    <w:p>
      <w:pPr>
        <w:spacing w:line="360" w:lineRule="auto"/>
        <w:jc w:val="center"/>
        <w:rPr>
          <w:rFonts w:hAnsi="宋体"/>
          <w:b/>
          <w:sz w:val="44"/>
          <w:szCs w:val="44"/>
        </w:rPr>
      </w:pPr>
    </w:p>
    <w:p>
      <w:pPr>
        <w:spacing w:line="360" w:lineRule="auto"/>
        <w:jc w:val="center"/>
        <w:rPr>
          <w:rFonts w:hAnsi="宋体"/>
          <w:b/>
          <w:sz w:val="44"/>
          <w:szCs w:val="44"/>
        </w:rPr>
      </w:pPr>
    </w:p>
    <w:p>
      <w:pPr>
        <w:spacing w:line="360" w:lineRule="auto"/>
        <w:jc w:val="center"/>
        <w:rPr>
          <w:rFonts w:hAnsi="宋体"/>
          <w:b/>
          <w:sz w:val="44"/>
          <w:szCs w:val="44"/>
        </w:rPr>
      </w:pPr>
    </w:p>
    <w:p>
      <w:pPr>
        <w:spacing w:line="360" w:lineRule="auto"/>
        <w:jc w:val="center"/>
        <w:rPr>
          <w:rFonts w:hAnsi="宋体"/>
          <w:b/>
          <w:sz w:val="44"/>
          <w:szCs w:val="44"/>
        </w:rPr>
      </w:pPr>
    </w:p>
    <w:p>
      <w:pPr>
        <w:spacing w:line="360" w:lineRule="auto"/>
        <w:jc w:val="center"/>
        <w:rPr>
          <w:rFonts w:hAnsi="宋体"/>
          <w:b/>
          <w:sz w:val="44"/>
          <w:szCs w:val="44"/>
        </w:rPr>
      </w:pPr>
    </w:p>
    <w:p>
      <w:pPr>
        <w:spacing w:line="360" w:lineRule="auto"/>
        <w:jc w:val="center"/>
        <w:rPr>
          <w:rFonts w:hAnsi="宋体"/>
          <w:b/>
          <w:sz w:val="44"/>
          <w:szCs w:val="44"/>
        </w:rPr>
      </w:pPr>
    </w:p>
    <w:p>
      <w:pPr>
        <w:spacing w:line="360" w:lineRule="auto"/>
        <w:jc w:val="center"/>
        <w:rPr>
          <w:rFonts w:hAnsi="宋体"/>
          <w:b/>
          <w:sz w:val="44"/>
          <w:szCs w:val="44"/>
        </w:rPr>
      </w:pPr>
    </w:p>
    <w:p>
      <w:pPr>
        <w:spacing w:line="360" w:lineRule="auto"/>
        <w:jc w:val="center"/>
        <w:rPr>
          <w:rFonts w:hAnsi="宋体"/>
          <w:b/>
          <w:sz w:val="44"/>
          <w:szCs w:val="44"/>
        </w:rPr>
      </w:pPr>
    </w:p>
    <w:p>
      <w:pPr>
        <w:spacing w:line="360" w:lineRule="auto"/>
        <w:jc w:val="center"/>
        <w:rPr>
          <w:rFonts w:hAnsi="宋体"/>
          <w:b/>
          <w:sz w:val="44"/>
          <w:szCs w:val="44"/>
        </w:rPr>
      </w:pPr>
    </w:p>
    <w:p>
      <w:pPr>
        <w:spacing w:line="360" w:lineRule="auto"/>
        <w:jc w:val="center"/>
        <w:rPr>
          <w:rFonts w:hint="eastAsia" w:hAnsi="宋体"/>
          <w:b/>
          <w:sz w:val="44"/>
          <w:szCs w:val="44"/>
        </w:rPr>
      </w:pPr>
    </w:p>
    <w:p>
      <w:pPr>
        <w:spacing w:line="360" w:lineRule="auto"/>
        <w:jc w:val="center"/>
        <w:rPr>
          <w:rFonts w:hAnsi="宋体"/>
          <w:b/>
          <w:sz w:val="44"/>
          <w:szCs w:val="44"/>
        </w:rPr>
      </w:pPr>
      <w:r>
        <w:rPr>
          <w:rFonts w:hint="eastAsia" w:hAnsi="宋体"/>
          <w:b/>
          <w:sz w:val="44"/>
          <w:szCs w:val="44"/>
        </w:rPr>
        <w:t>福建路港（集团）有限公司</w:t>
      </w:r>
    </w:p>
    <w:p>
      <w:pPr>
        <w:spacing w:line="360" w:lineRule="auto"/>
        <w:jc w:val="center"/>
        <w:rPr>
          <w:rFonts w:hAnsi="宋体"/>
          <w:b/>
          <w:sz w:val="44"/>
          <w:szCs w:val="44"/>
        </w:rPr>
      </w:pPr>
      <w:r>
        <w:rPr>
          <w:rFonts w:hint="eastAsia" w:hAnsi="宋体"/>
          <w:b/>
          <w:sz w:val="44"/>
          <w:szCs w:val="44"/>
        </w:rPr>
        <w:t>纵二线104国道改线工程A2合同段</w:t>
      </w:r>
    </w:p>
    <w:p>
      <w:pPr>
        <w:spacing w:line="360" w:lineRule="auto"/>
        <w:jc w:val="center"/>
        <w:rPr>
          <w:rFonts w:hint="eastAsia" w:hAnsi="宋体" w:eastAsia="宋体"/>
          <w:b/>
          <w:sz w:val="44"/>
          <w:szCs w:val="44"/>
          <w:lang w:eastAsia="zh-CN"/>
        </w:rPr>
      </w:pPr>
      <w:r>
        <w:rPr>
          <w:rFonts w:hint="eastAsia" w:hAnsi="宋体"/>
          <w:b/>
          <w:sz w:val="44"/>
          <w:szCs w:val="44"/>
          <w:lang w:eastAsia="zh-CN"/>
        </w:rPr>
        <w:t>绿化工程</w:t>
      </w:r>
    </w:p>
    <w:p>
      <w:pPr>
        <w:spacing w:line="600" w:lineRule="auto"/>
        <w:jc w:val="center"/>
        <w:rPr>
          <w:rFonts w:ascii="楷体_GB2312" w:eastAsia="楷体_GB2312"/>
          <w:b/>
          <w:sz w:val="36"/>
          <w:szCs w:val="36"/>
        </w:rPr>
      </w:pPr>
    </w:p>
    <w:p>
      <w:pPr>
        <w:spacing w:line="600" w:lineRule="auto"/>
        <w:jc w:val="center"/>
        <w:rPr>
          <w:rFonts w:ascii="楷体_GB2312" w:eastAsia="楷体_GB2312"/>
          <w:b/>
          <w:sz w:val="48"/>
          <w:szCs w:val="48"/>
        </w:rPr>
      </w:pPr>
    </w:p>
    <w:p>
      <w:pPr>
        <w:spacing w:line="600" w:lineRule="auto"/>
        <w:jc w:val="center"/>
        <w:rPr>
          <w:rFonts w:ascii="楷体_GB2312" w:eastAsia="楷体_GB2312"/>
          <w:b/>
          <w:sz w:val="48"/>
          <w:szCs w:val="48"/>
        </w:rPr>
      </w:pPr>
    </w:p>
    <w:p>
      <w:pPr>
        <w:spacing w:line="600" w:lineRule="auto"/>
        <w:jc w:val="center"/>
        <w:rPr>
          <w:rFonts w:ascii="楷体_GB2312" w:eastAsia="楷体_GB2312"/>
          <w:b/>
          <w:sz w:val="48"/>
          <w:szCs w:val="48"/>
        </w:rPr>
      </w:pPr>
    </w:p>
    <w:p>
      <w:pPr>
        <w:spacing w:line="600" w:lineRule="auto"/>
        <w:jc w:val="center"/>
        <w:rPr>
          <w:rFonts w:ascii="楷体_GB2312" w:eastAsia="楷体_GB2312"/>
          <w:b/>
          <w:sz w:val="48"/>
          <w:szCs w:val="48"/>
        </w:rPr>
      </w:pPr>
      <w:r>
        <w:rPr>
          <w:rFonts w:hint="eastAsia" w:ascii="楷体_GB2312" w:eastAsia="楷体_GB2312"/>
          <w:b/>
          <w:sz w:val="48"/>
          <w:szCs w:val="48"/>
        </w:rPr>
        <w:t>专项工程分包施工合同</w:t>
      </w:r>
    </w:p>
    <w:p>
      <w:pPr>
        <w:spacing w:line="600" w:lineRule="auto"/>
        <w:ind w:right="480" w:firstLine="420"/>
        <w:jc w:val="center"/>
        <w:rPr>
          <w:rFonts w:ascii="楷体_GB2312" w:eastAsia="楷体_GB2312"/>
          <w:color w:val="0000FF"/>
          <w:sz w:val="28"/>
          <w:szCs w:val="28"/>
        </w:rPr>
      </w:pPr>
      <w:r>
        <w:rPr>
          <w:rFonts w:hint="eastAsia" w:ascii="楷体_GB2312" w:eastAsia="楷体_GB2312"/>
          <w:sz w:val="28"/>
          <w:szCs w:val="28"/>
        </w:rPr>
        <w:t>(合同编号：闽路港司合字2019</w:t>
      </w:r>
      <w:r>
        <w:rPr>
          <w:rFonts w:hint="eastAsia" w:ascii="楷体_GB2312" w:eastAsia="楷体_GB2312"/>
          <w:sz w:val="28"/>
          <w:szCs w:val="28"/>
          <w:lang w:val="en-US" w:eastAsia="zh-CN"/>
        </w:rPr>
        <w:t xml:space="preserve">   </w:t>
      </w:r>
      <w:r>
        <w:rPr>
          <w:rFonts w:hint="eastAsia" w:ascii="楷体_GB2312" w:eastAsia="楷体_GB2312"/>
          <w:sz w:val="28"/>
          <w:szCs w:val="28"/>
        </w:rPr>
        <w:t>号)</w:t>
      </w:r>
    </w:p>
    <w:p>
      <w:pPr>
        <w:spacing w:line="600" w:lineRule="auto"/>
        <w:ind w:right="480" w:firstLine="420"/>
        <w:jc w:val="center"/>
        <w:rPr>
          <w:rFonts w:ascii="楷体_GB2312" w:eastAsia="楷体_GB2312"/>
          <w:sz w:val="28"/>
          <w:szCs w:val="28"/>
        </w:rPr>
      </w:pPr>
    </w:p>
    <w:p>
      <w:pPr>
        <w:spacing w:line="360" w:lineRule="auto"/>
        <w:jc w:val="center"/>
        <w:rPr>
          <w:b/>
          <w:color w:val="000000"/>
          <w:sz w:val="36"/>
          <w:szCs w:val="36"/>
        </w:rPr>
      </w:pPr>
    </w:p>
    <w:p>
      <w:pPr>
        <w:spacing w:line="360" w:lineRule="auto"/>
        <w:jc w:val="center"/>
        <w:rPr>
          <w:b/>
          <w:color w:val="000000"/>
          <w:sz w:val="36"/>
          <w:szCs w:val="36"/>
        </w:rPr>
      </w:pPr>
    </w:p>
    <w:p>
      <w:pPr>
        <w:spacing w:line="360" w:lineRule="auto"/>
        <w:jc w:val="center"/>
        <w:rPr>
          <w:b/>
          <w:color w:val="000000"/>
          <w:sz w:val="36"/>
          <w:szCs w:val="36"/>
        </w:rPr>
      </w:pPr>
    </w:p>
    <w:p>
      <w:pPr>
        <w:spacing w:line="360" w:lineRule="auto"/>
        <w:rPr>
          <w:b/>
          <w:color w:val="000000"/>
          <w:sz w:val="36"/>
          <w:szCs w:val="36"/>
        </w:rPr>
      </w:pPr>
    </w:p>
    <w:p>
      <w:pPr>
        <w:spacing w:line="360" w:lineRule="auto"/>
        <w:rPr>
          <w:b/>
          <w:color w:val="000000"/>
          <w:sz w:val="36"/>
          <w:szCs w:val="36"/>
        </w:rPr>
      </w:pPr>
    </w:p>
    <w:p>
      <w:pPr>
        <w:spacing w:line="360" w:lineRule="auto"/>
        <w:jc w:val="center"/>
        <w:rPr>
          <w:rFonts w:hint="eastAsia"/>
          <w:b/>
          <w:color w:val="000000"/>
          <w:sz w:val="36"/>
          <w:szCs w:val="36"/>
        </w:rPr>
      </w:pPr>
    </w:p>
    <w:p>
      <w:pPr>
        <w:spacing w:line="360" w:lineRule="auto"/>
        <w:jc w:val="center"/>
        <w:rPr>
          <w:rFonts w:hint="eastAsia"/>
          <w:b/>
          <w:color w:val="000000"/>
          <w:sz w:val="36"/>
          <w:szCs w:val="36"/>
        </w:rPr>
      </w:pPr>
    </w:p>
    <w:p>
      <w:pPr>
        <w:spacing w:line="360" w:lineRule="auto"/>
        <w:jc w:val="center"/>
        <w:rPr>
          <w:rFonts w:hint="eastAsia"/>
          <w:b/>
          <w:color w:val="000000"/>
          <w:sz w:val="36"/>
          <w:szCs w:val="36"/>
          <w:lang w:eastAsia="zh-CN"/>
        </w:rPr>
      </w:pPr>
    </w:p>
    <w:p>
      <w:pPr>
        <w:spacing w:line="360" w:lineRule="auto"/>
        <w:jc w:val="center"/>
        <w:rPr>
          <w:rFonts w:hint="eastAsia"/>
          <w:b/>
          <w:color w:val="000000"/>
          <w:sz w:val="36"/>
          <w:szCs w:val="36"/>
          <w:lang w:eastAsia="zh-CN"/>
        </w:rPr>
      </w:pPr>
    </w:p>
    <w:p>
      <w:pPr>
        <w:spacing w:line="360" w:lineRule="auto"/>
        <w:jc w:val="center"/>
        <w:rPr>
          <w:rFonts w:hint="eastAsia"/>
          <w:b/>
          <w:color w:val="000000"/>
          <w:sz w:val="36"/>
          <w:szCs w:val="36"/>
          <w:lang w:eastAsia="zh-CN"/>
        </w:rPr>
      </w:pPr>
    </w:p>
    <w:p>
      <w:pPr>
        <w:spacing w:line="360" w:lineRule="auto"/>
        <w:jc w:val="center"/>
        <w:rPr>
          <w:rFonts w:hint="eastAsia"/>
          <w:b/>
          <w:color w:val="000000"/>
          <w:sz w:val="36"/>
          <w:szCs w:val="36"/>
          <w:lang w:eastAsia="zh-CN"/>
        </w:rPr>
      </w:pPr>
    </w:p>
    <w:p>
      <w:pPr>
        <w:spacing w:line="360" w:lineRule="auto"/>
        <w:jc w:val="center"/>
        <w:rPr>
          <w:rFonts w:hint="eastAsia"/>
          <w:b/>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723" w:firstLineChars="200"/>
        <w:jc w:val="center"/>
        <w:textAlignment w:val="auto"/>
        <w:rPr>
          <w:b/>
          <w:color w:val="000000"/>
          <w:sz w:val="36"/>
          <w:szCs w:val="36"/>
        </w:rPr>
      </w:pPr>
      <w:r>
        <w:rPr>
          <w:rFonts w:hint="eastAsia"/>
          <w:b/>
          <w:color w:val="000000"/>
          <w:sz w:val="36"/>
          <w:szCs w:val="36"/>
          <w:lang w:eastAsia="zh-CN"/>
        </w:rPr>
        <w:t>绿化工程</w:t>
      </w:r>
      <w:r>
        <w:rPr>
          <w:rFonts w:hint="eastAsia"/>
          <w:b/>
          <w:color w:val="000000"/>
          <w:sz w:val="36"/>
          <w:szCs w:val="36"/>
        </w:rPr>
        <w:t>施工承包合同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color w:val="000000"/>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宋体"/>
          <w:b/>
          <w:color w:val="0070C0"/>
          <w:sz w:val="32"/>
          <w:szCs w:val="32"/>
          <w:u w:val="single"/>
          <w:lang w:val="en-US" w:eastAsia="zh-CN"/>
        </w:rPr>
      </w:pPr>
      <w:r>
        <w:rPr>
          <w:rFonts w:hint="eastAsia"/>
          <w:b/>
          <w:color w:val="000000"/>
          <w:sz w:val="32"/>
          <w:szCs w:val="32"/>
        </w:rPr>
        <w:t>甲方：</w:t>
      </w:r>
      <w:r>
        <w:rPr>
          <w:rFonts w:hint="eastAsia" w:ascii="宋体" w:hAnsi="宋体" w:cs="宋体"/>
          <w:b/>
          <w:color w:val="000000"/>
          <w:sz w:val="32"/>
          <w:szCs w:val="32"/>
          <w:u w:val="single"/>
        </w:rPr>
        <w:t>福建路港（集团）有限公司</w:t>
      </w:r>
      <w:r>
        <w:rPr>
          <w:rFonts w:hint="eastAsia"/>
          <w:b/>
          <w:color w:val="000000"/>
          <w:sz w:val="24"/>
        </w:rPr>
        <w:br w:type="textWrapping"/>
      </w:r>
      <w:r>
        <w:rPr>
          <w:rFonts w:hint="eastAsia"/>
          <w:b/>
          <w:color w:val="000000"/>
          <w:sz w:val="32"/>
          <w:szCs w:val="32"/>
        </w:rPr>
        <w:t>乙方：</w:t>
      </w:r>
      <w:r>
        <w:rPr>
          <w:rFonts w:hint="eastAsia"/>
          <w:b/>
          <w:color w:val="00000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color w:val="000000"/>
          <w:sz w:val="24"/>
        </w:rPr>
      </w:pPr>
      <w:r>
        <w:rPr>
          <w:rFonts w:hint="eastAsia"/>
          <w:color w:val="000000"/>
          <w:sz w:val="24"/>
        </w:rPr>
        <w:t>根据《中华人民共和国合同法》和相关法律法规等规定，为明确双方在工程承包中的权利、义务和责任，确保工程任务的圆满完成，在平等、自愿、互利的原则下，经甲乙双方协商同意签订本合同。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3" w:firstLineChars="200"/>
        <w:textAlignment w:val="auto"/>
        <w:rPr>
          <w:b/>
          <w:color w:val="000000"/>
          <w:sz w:val="24"/>
        </w:rPr>
      </w:pPr>
      <w:r>
        <w:rPr>
          <w:rFonts w:hint="eastAsia" w:ascii="仿宋_GB2312" w:hAnsi="宋体" w:eastAsia="仿宋_GB2312"/>
          <w:b/>
          <w:sz w:val="32"/>
          <w:szCs w:val="32"/>
        </w:rPr>
        <w:t>第一条</w:t>
      </w:r>
      <w:r>
        <w:rPr>
          <w:rFonts w:hint="eastAsia" w:ascii="仿宋_GB2312" w:hAnsi="宋体" w:eastAsia="仿宋_GB2312"/>
          <w:b/>
          <w:sz w:val="32"/>
          <w:szCs w:val="32"/>
          <w:lang w:val="en-US" w:eastAsia="zh-CN"/>
        </w:rPr>
        <w:t>.</w:t>
      </w:r>
      <w:r>
        <w:rPr>
          <w:rFonts w:hint="eastAsia" w:ascii="仿宋_GB2312" w:hAnsi="宋体" w:eastAsia="仿宋_GB2312"/>
          <w:b/>
          <w:sz w:val="32"/>
          <w:szCs w:val="32"/>
        </w:rPr>
        <w:t>工程名称及地点：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color w:val="000000"/>
          <w:sz w:val="24"/>
          <w:u w:val="single"/>
        </w:rPr>
      </w:pPr>
      <w:r>
        <w:rPr>
          <w:rFonts w:hint="eastAsia"/>
          <w:color w:val="000000"/>
          <w:sz w:val="24"/>
        </w:rPr>
        <w:t>工程名称：</w:t>
      </w:r>
      <w:r>
        <w:rPr>
          <w:rFonts w:hint="eastAsia"/>
          <w:color w:val="000000"/>
          <w:sz w:val="24"/>
          <w:u w:val="single"/>
        </w:rPr>
        <w:t>_纵二线104国道改线工程A2合同段</w:t>
      </w:r>
      <w:r>
        <w:rPr>
          <w:rFonts w:hint="eastAsia"/>
          <w:color w:val="000000"/>
          <w:sz w:val="24"/>
          <w:u w:val="single"/>
          <w:lang w:eastAsia="zh-CN"/>
        </w:rPr>
        <w:t>绿化工程</w:t>
      </w:r>
      <w:r>
        <w:rPr>
          <w:rFonts w:hint="eastAsia"/>
          <w:color w:val="000000"/>
          <w:sz w:val="24"/>
          <w:u w:val="single"/>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color w:val="000000"/>
          <w:sz w:val="24"/>
        </w:rPr>
      </w:pPr>
      <w:r>
        <w:rPr>
          <w:rFonts w:hint="eastAsia"/>
          <w:color w:val="000000"/>
          <w:sz w:val="24"/>
        </w:rPr>
        <w:t>工程地点：</w:t>
      </w:r>
      <w:r>
        <w:rPr>
          <w:rFonts w:hint="eastAsia"/>
          <w:color w:val="000000"/>
          <w:sz w:val="24"/>
          <w:u w:val="single"/>
        </w:rPr>
        <w:t>连江县</w:t>
      </w:r>
      <w:r>
        <w:rPr>
          <w:rFonts w:hint="eastAsia"/>
          <w:color w:val="000000"/>
          <w:sz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3" w:firstLineChars="200"/>
        <w:textAlignment w:val="auto"/>
        <w:rPr>
          <w:rFonts w:ascii="仿宋_GB2312" w:hAnsi="宋体" w:eastAsia="仿宋_GB2312"/>
          <w:b/>
          <w:sz w:val="32"/>
          <w:szCs w:val="32"/>
        </w:rPr>
      </w:pPr>
      <w:r>
        <w:rPr>
          <w:rFonts w:hint="eastAsia" w:ascii="仿宋_GB2312" w:hAnsi="宋体" w:eastAsia="仿宋_GB2312"/>
          <w:b/>
          <w:sz w:val="32"/>
          <w:szCs w:val="32"/>
        </w:rPr>
        <w:t>第二条</w:t>
      </w:r>
      <w:r>
        <w:rPr>
          <w:rFonts w:hint="eastAsia" w:ascii="仿宋_GB2312" w:hAnsi="宋体" w:eastAsia="仿宋_GB2312"/>
          <w:b/>
          <w:sz w:val="32"/>
          <w:szCs w:val="32"/>
          <w:lang w:val="en-US" w:eastAsia="zh-CN"/>
        </w:rPr>
        <w:t>.</w:t>
      </w:r>
      <w:r>
        <w:rPr>
          <w:rFonts w:hint="eastAsia" w:ascii="仿宋_GB2312" w:hAnsi="宋体" w:eastAsia="仿宋_GB2312"/>
          <w:b/>
          <w:sz w:val="32"/>
          <w:szCs w:val="32"/>
        </w:rPr>
        <w:t>工程范围及内容：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eastAsia="宋体"/>
          <w:color w:val="000000"/>
          <w:sz w:val="24"/>
          <w:lang w:val="en-US" w:eastAsia="zh-CN"/>
        </w:rPr>
      </w:pPr>
      <w:r>
        <w:rPr>
          <w:rFonts w:hint="eastAsia"/>
          <w:sz w:val="24"/>
        </w:rPr>
        <w:t>1、</w:t>
      </w:r>
      <w:r>
        <w:rPr>
          <w:rFonts w:hint="eastAsia"/>
          <w:color w:val="000000"/>
          <w:sz w:val="24"/>
        </w:rPr>
        <w:t>工程范围：</w:t>
      </w:r>
      <w:r>
        <w:rPr>
          <w:rFonts w:hint="eastAsia"/>
          <w:color w:val="000000"/>
          <w:sz w:val="24"/>
          <w:lang w:eastAsia="zh-CN"/>
        </w:rPr>
        <w:t>路基工程中植物护坡（含植草防护、喷播草籽防护、客土喷播护坡、</w:t>
      </w:r>
      <w:r>
        <w:rPr>
          <w:rFonts w:hint="eastAsia"/>
          <w:color w:val="000000"/>
          <w:sz w:val="24"/>
          <w:lang w:val="en-US" w:eastAsia="zh-CN"/>
        </w:rPr>
        <w:t>TBS镀锌网防护等）、绿化种植。</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eastAsia="仿宋_GB2312"/>
          <w:b/>
          <w:sz w:val="32"/>
          <w:szCs w:val="32"/>
        </w:rPr>
      </w:pPr>
      <w:r>
        <w:rPr>
          <w:rFonts w:hint="eastAsia"/>
          <w:sz w:val="24"/>
          <w:lang w:val="en-US" w:eastAsia="zh-CN"/>
        </w:rPr>
        <w:t>2</w:t>
      </w:r>
      <w:r>
        <w:rPr>
          <w:rFonts w:hint="eastAsia"/>
          <w:sz w:val="24"/>
        </w:rPr>
        <w:t>、工程内容：</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80" w:firstLineChars="200"/>
        <w:textAlignment w:val="auto"/>
        <w:rPr>
          <w:rFonts w:hint="eastAsia"/>
          <w:color w:val="auto"/>
          <w:sz w:val="24"/>
          <w:lang w:val="en-US" w:eastAsia="zh-CN"/>
        </w:rPr>
      </w:pPr>
      <w:r>
        <w:rPr>
          <w:rFonts w:hint="eastAsia"/>
          <w:color w:val="auto"/>
          <w:sz w:val="24"/>
          <w:lang w:eastAsia="zh-CN"/>
        </w:rPr>
        <w:t>（</w:t>
      </w:r>
      <w:r>
        <w:rPr>
          <w:rFonts w:hint="eastAsia"/>
          <w:color w:val="auto"/>
          <w:sz w:val="24"/>
          <w:lang w:val="en-US" w:eastAsia="zh-CN"/>
        </w:rPr>
        <w:t>1</w:t>
      </w:r>
      <w:r>
        <w:rPr>
          <w:rFonts w:hint="eastAsia"/>
          <w:color w:val="auto"/>
          <w:sz w:val="24"/>
          <w:lang w:eastAsia="zh-CN"/>
        </w:rPr>
        <w:t>）</w:t>
      </w:r>
      <w:r>
        <w:rPr>
          <w:rFonts w:hint="eastAsia"/>
          <w:color w:val="auto"/>
          <w:sz w:val="24"/>
          <w:lang w:val="en-US" w:eastAsia="zh-CN"/>
        </w:rPr>
        <w:t>甲方负责提供电源（二级箱），生产</w:t>
      </w:r>
      <w:bookmarkStart w:id="29" w:name="_GoBack"/>
      <w:bookmarkEnd w:id="29"/>
      <w:r>
        <w:rPr>
          <w:rFonts w:hint="eastAsia"/>
          <w:color w:val="auto"/>
          <w:sz w:val="24"/>
          <w:lang w:val="en-US" w:eastAsia="zh-CN"/>
        </w:rPr>
        <w:t>电费由甲方负责。</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eastAsia="仿宋_GB2312"/>
          <w:b/>
          <w:sz w:val="32"/>
          <w:szCs w:val="32"/>
          <w:lang w:val="en-US" w:eastAsia="zh-CN"/>
        </w:rPr>
      </w:pPr>
      <w:r>
        <w:rPr>
          <w:rFonts w:hint="eastAsia"/>
          <w:color w:val="auto"/>
          <w:sz w:val="24"/>
          <w:lang w:val="en-US" w:eastAsia="zh-CN"/>
        </w:rPr>
        <w:t>（2）甲供材料：甲方负责提供砼及钢筋至主线，材料价格计入乙方报价成本，结算时以甲方材料单价扣除，甲方提供最近土源，运输费用和装车费用、转运费用乙方自行承担。</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80" w:firstLineChars="200"/>
        <w:textAlignment w:val="auto"/>
        <w:rPr>
          <w:rFonts w:hint="default" w:eastAsia="宋体"/>
          <w:color w:val="auto"/>
          <w:sz w:val="24"/>
          <w:lang w:val="en-US" w:eastAsia="zh-CN"/>
        </w:rPr>
      </w:pPr>
      <w:r>
        <w:rPr>
          <w:rFonts w:hint="eastAsia"/>
          <w:color w:val="auto"/>
          <w:sz w:val="24"/>
          <w:lang w:val="en-US" w:eastAsia="zh-CN"/>
        </w:rPr>
        <w:t>（3）</w:t>
      </w:r>
      <w:r>
        <w:rPr>
          <w:rFonts w:hint="eastAsia"/>
          <w:color w:val="auto"/>
          <w:sz w:val="24"/>
        </w:rPr>
        <w:t>乙方负责</w:t>
      </w:r>
      <w:r>
        <w:rPr>
          <w:rFonts w:hint="eastAsia"/>
          <w:color w:val="auto"/>
          <w:sz w:val="24"/>
          <w:lang w:eastAsia="zh-CN"/>
        </w:rPr>
        <w:t>边坡修整、挂网锚固、</w:t>
      </w:r>
      <w:r>
        <w:rPr>
          <w:rFonts w:hint="eastAsia"/>
          <w:color w:val="auto"/>
          <w:sz w:val="24"/>
          <w:lang w:val="en-US" w:eastAsia="zh-CN"/>
        </w:rPr>
        <w:t>打孔、预制、安装、注浆、装模、网片预制安装、砼浇筑、</w:t>
      </w:r>
      <w:r>
        <w:rPr>
          <w:rFonts w:hint="eastAsia"/>
          <w:color w:val="auto"/>
          <w:sz w:val="24"/>
          <w:lang w:eastAsia="zh-CN"/>
        </w:rPr>
        <w:t>喷播、土工布覆盖、土工膜覆盖、养护、施肥、除杂草、病害防治、补植、</w:t>
      </w:r>
      <w:r>
        <w:rPr>
          <w:rFonts w:hint="eastAsia"/>
          <w:color w:val="auto"/>
          <w:sz w:val="24"/>
        </w:rPr>
        <w:t>标准化施工</w:t>
      </w:r>
      <w:r>
        <w:rPr>
          <w:rFonts w:hint="eastAsia"/>
          <w:color w:val="auto"/>
          <w:sz w:val="24"/>
          <w:lang w:val="en-US" w:eastAsia="zh-CN"/>
        </w:rPr>
        <w:t>等甲方责任以外的所有工作</w:t>
      </w:r>
      <w:r>
        <w:rPr>
          <w:rFonts w:hint="eastAsia"/>
          <w:color w:val="auto"/>
          <w:sz w:val="24"/>
        </w:rPr>
        <w:t>。</w:t>
      </w:r>
      <w:r>
        <w:rPr>
          <w:rFonts w:hint="eastAsia"/>
          <w:color w:val="auto"/>
          <w:sz w:val="24"/>
          <w:lang w:eastAsia="zh-CN"/>
        </w:rPr>
        <w:t>施工过程中需要的机械设备由乙方负责。</w:t>
      </w:r>
      <w:r>
        <w:rPr>
          <w:rFonts w:hint="eastAsia"/>
          <w:color w:val="auto"/>
          <w:sz w:val="24"/>
          <w:lang w:val="en-US" w:eastAsia="zh-CN"/>
        </w:rPr>
        <w:t>甲供材料的转运及施工由乙方负责，土由乙方装运至施工现场</w:t>
      </w:r>
      <w:r>
        <w:rPr>
          <w:rFonts w:hint="eastAsia"/>
          <w:color w:val="auto"/>
          <w:sz w:val="24"/>
          <w:lang w:eastAsia="zh-CN"/>
        </w:rPr>
        <w:t>草籽、</w:t>
      </w:r>
      <w:r>
        <w:rPr>
          <w:rFonts w:hint="eastAsia"/>
          <w:color w:val="auto"/>
          <w:sz w:val="24"/>
          <w:lang w:val="en-US" w:eastAsia="zh-CN"/>
        </w:rPr>
        <w:t>TBS镀锌网、土工布、苗木、土工膜等除甲供材料外的所有材料均由乙方提供。</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3" w:firstLineChars="200"/>
        <w:textAlignment w:val="auto"/>
        <w:rPr>
          <w:rFonts w:ascii="仿宋_GB2312" w:hAnsi="宋体" w:eastAsia="仿宋_GB2312"/>
          <w:b/>
          <w:sz w:val="32"/>
          <w:szCs w:val="32"/>
        </w:rPr>
      </w:pPr>
      <w:r>
        <w:rPr>
          <w:rFonts w:hint="eastAsia" w:ascii="仿宋_GB2312" w:hAnsi="宋体" w:eastAsia="仿宋_GB2312"/>
          <w:b/>
          <w:sz w:val="32"/>
          <w:szCs w:val="32"/>
        </w:rPr>
        <w:t>第三条</w:t>
      </w:r>
      <w:r>
        <w:rPr>
          <w:rFonts w:hint="eastAsia" w:ascii="仿宋_GB2312" w:hAnsi="宋体" w:eastAsia="仿宋_GB2312"/>
          <w:b/>
          <w:sz w:val="32"/>
          <w:szCs w:val="32"/>
          <w:lang w:val="en-US" w:eastAsia="zh-CN"/>
        </w:rPr>
        <w:t>.</w:t>
      </w:r>
      <w:r>
        <w:rPr>
          <w:rFonts w:hint="eastAsia" w:ascii="仿宋_GB2312" w:hAnsi="宋体" w:eastAsia="仿宋_GB2312"/>
          <w:b/>
          <w:sz w:val="32"/>
          <w:szCs w:val="32"/>
        </w:rPr>
        <w:t>承包方式及单价：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3"/>
        <w:rPr>
          <w:rFonts w:ascii="黑体" w:eastAsia="黑体"/>
          <w:bCs/>
          <w:sz w:val="24"/>
        </w:rPr>
      </w:pPr>
      <w:r>
        <w:rPr>
          <w:rFonts w:hint="eastAsia" w:ascii="黑体" w:eastAsia="黑体"/>
          <w:bCs/>
          <w:sz w:val="24"/>
        </w:rPr>
        <w:t>（一）合同总价：人民币</w:t>
      </w:r>
      <w:r>
        <w:rPr>
          <w:rFonts w:hint="eastAsia" w:ascii="黑体" w:eastAsia="黑体"/>
          <w:bCs/>
          <w:sz w:val="24"/>
          <w:u w:val="single"/>
          <w:lang w:val="en-US" w:eastAsia="zh-CN"/>
        </w:rPr>
        <w:t xml:space="preserve">             </w:t>
      </w:r>
      <w:r>
        <w:rPr>
          <w:rFonts w:hint="eastAsia" w:ascii="黑体" w:eastAsia="黑体"/>
          <w:bCs/>
          <w:sz w:val="24"/>
        </w:rPr>
        <w:t>元（小写：</w:t>
      </w:r>
      <w:r>
        <w:rPr>
          <w:rFonts w:hint="eastAsia" w:ascii="黑体" w:eastAsia="黑体"/>
          <w:bCs/>
          <w:sz w:val="24"/>
          <w:u w:val="single"/>
          <w:lang w:val="en-US" w:eastAsia="zh-CN"/>
        </w:rPr>
        <w:t xml:space="preserve">          </w:t>
      </w:r>
      <w:r>
        <w:rPr>
          <w:rFonts w:hint="eastAsia" w:ascii="黑体" w:eastAsia="黑体"/>
          <w:bCs/>
          <w:sz w:val="24"/>
        </w:rPr>
        <w:t>￥元）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3"/>
        <w:rPr>
          <w:rFonts w:ascii="宋体"/>
          <w:b/>
          <w:sz w:val="24"/>
        </w:rPr>
      </w:pPr>
      <w:r>
        <w:rPr>
          <w:rFonts w:hint="eastAsia" w:ascii="黑体" w:eastAsia="黑体"/>
          <w:bCs/>
          <w:sz w:val="24"/>
        </w:rPr>
        <w:t>（二）承包方式</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ascii="宋体"/>
          <w:sz w:val="24"/>
        </w:rPr>
      </w:pPr>
      <w:r>
        <w:rPr>
          <w:rFonts w:hint="eastAsia" w:ascii="宋体"/>
          <w:sz w:val="24"/>
        </w:rPr>
        <w:t>1、</w:t>
      </w:r>
      <w:r>
        <w:rPr>
          <w:rFonts w:hint="eastAsia" w:ascii="宋体" w:hAnsi="宋体" w:cs="仿宋"/>
          <w:sz w:val="24"/>
        </w:rPr>
        <w:t>合同采用</w:t>
      </w:r>
      <w:r>
        <w:rPr>
          <w:rFonts w:hint="eastAsia" w:ascii="宋体" w:hAnsi="宋体" w:cs="仿宋"/>
          <w:b/>
          <w:sz w:val="24"/>
          <w:u w:val="single"/>
          <w:lang w:val="en-US" w:eastAsia="zh-CN"/>
        </w:rPr>
        <w:t>不含税</w:t>
      </w:r>
      <w:r>
        <w:rPr>
          <w:rFonts w:hint="eastAsia" w:ascii="宋体" w:hAnsi="宋体" w:cs="仿宋"/>
          <w:b/>
          <w:sz w:val="24"/>
          <w:u w:val="single"/>
        </w:rPr>
        <w:t>固定单价承包方式</w:t>
      </w:r>
      <w:r>
        <w:rPr>
          <w:rFonts w:hint="eastAsia" w:ascii="宋体" w:hAnsi="宋体" w:cs="仿宋"/>
          <w:sz w:val="24"/>
        </w:rPr>
        <w:t>。部分材料费不计入清单细目综合单价的为包工不包料方式，所有材料费计入综合单价的为包工包料方式；对于合同规定采用包工不包料方式的项目，除合同指明的由项目部提供的材料费用不列入单价外，其它所有材料费均已包含在单价内。不论何种方式均包括完成清单所列项目所需的人工费、机械费、辅助性施工材料、生活用水用电费用及劳保、安全措施费用、文明施工费、环保费用、风险包干费用、分包企业所得税、个人所得税、管理费用等一切费用（合同条款另有约定的除外）。同时，综合单价中已包含了为完成该项目可能存在的因工期、质量、安全、人工及材料价格变动、社会环境干扰等各方面存在的风险因素可能造成的其它费用，其中</w:t>
      </w:r>
      <w:r>
        <w:rPr>
          <w:rFonts w:hint="eastAsia" w:ascii="宋体" w:hAnsi="宋体" w:cs="仿宋"/>
          <w:b/>
          <w:sz w:val="24"/>
        </w:rPr>
        <w:t>分包企业所得税、个人所得税及农民工工伤保险费以当地规定费率计算</w:t>
      </w:r>
      <w:r>
        <w:rPr>
          <w:rFonts w:hint="eastAsia" w:ascii="宋体" w:hAnsi="宋体" w:cs="仿宋"/>
          <w:sz w:val="24"/>
        </w:rPr>
        <w:t>由甲方在乙方每期计量结算中代扣代缴。</w:t>
      </w:r>
      <w:r>
        <w:rPr>
          <w:rFonts w:hint="eastAsia" w:ascii="宋体" w:hAnsi="宋体" w:cs="仿宋"/>
          <w:bCs/>
          <w:sz w:val="24"/>
        </w:rPr>
        <w:t>乙方提供合同约定数量的合法增值税专用发票（发票单位名称：福建路港（集团）有限公司）。</w:t>
      </w:r>
      <w:r>
        <w:rPr>
          <w:rFonts w:hint="eastAsia" w:ascii="宋体" w:hAnsi="宋体" w:cs="仿宋"/>
          <w:sz w:val="24"/>
        </w:rPr>
        <w:t>附件《标价的工程量清单》所列细目为乙方为承建该项工程的综合单价，不论何种因素，经双方确认后的合同单价均不予调整。</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ascii="宋体" w:hAnsi="宋体" w:cs="仿宋"/>
          <w:sz w:val="24"/>
        </w:rPr>
      </w:pPr>
      <w:r>
        <w:rPr>
          <w:rFonts w:hint="eastAsia" w:ascii="宋体"/>
          <w:sz w:val="24"/>
        </w:rPr>
        <w:t>2、</w:t>
      </w:r>
      <w:r>
        <w:rPr>
          <w:rFonts w:hint="eastAsia" w:ascii="宋体" w:hAnsi="宋体" w:cs="仿宋"/>
          <w:sz w:val="24"/>
        </w:rPr>
        <w:t>综合单价的工作内容为业主提供给甲方的合同文件及技术规范内计量支付条款规定的内容以及招标文件计量支付条款规定的内容。除以上所列费用外，综合单价报价还应含乙方为完成工程所需的人工费、机械费、机械经常性维修费、管理费、检验检测费、进退场费用、生产生活所需的电费、生产和生活所需的水费、乙方在施工过程中场地清洁与维护、配合相关上级领导检查工作。</w:t>
      </w:r>
    </w:p>
    <w:p>
      <w:pPr>
        <w:keepNext w:val="0"/>
        <w:keepLines w:val="0"/>
        <w:pageBreakBefore w:val="0"/>
        <w:widowControl w:val="0"/>
        <w:tabs>
          <w:tab w:val="left" w:pos="1060"/>
        </w:tabs>
        <w:kinsoku/>
        <w:wordWrap/>
        <w:overflowPunct/>
        <w:topLinePunct w:val="0"/>
        <w:autoSpaceDE/>
        <w:autoSpaceDN/>
        <w:bidi w:val="0"/>
        <w:adjustRightInd/>
        <w:snapToGrid/>
        <w:spacing w:line="360" w:lineRule="auto"/>
        <w:ind w:left="0" w:leftChars="0" w:firstLine="643" w:firstLineChars="200"/>
        <w:textAlignment w:val="auto"/>
        <w:rPr>
          <w:rFonts w:ascii="宋体" w:hAnsi="宋体" w:cs="仿宋"/>
          <w:sz w:val="24"/>
        </w:rPr>
      </w:pPr>
      <w:r>
        <w:rPr>
          <w:rFonts w:hint="eastAsia" w:ascii="仿宋_GB2312" w:hAnsi="宋体" w:eastAsia="仿宋_GB2312"/>
          <w:b/>
          <w:sz w:val="32"/>
          <w:szCs w:val="32"/>
        </w:rPr>
        <w:t>第四条</w:t>
      </w:r>
      <w:r>
        <w:rPr>
          <w:rFonts w:hint="eastAsia" w:ascii="仿宋_GB2312" w:hAnsi="宋体" w:eastAsia="仿宋_GB2312"/>
          <w:b/>
          <w:sz w:val="32"/>
          <w:szCs w:val="32"/>
          <w:lang w:val="en-US" w:eastAsia="zh-CN"/>
        </w:rPr>
        <w:t>.</w:t>
      </w:r>
      <w:r>
        <w:rPr>
          <w:rFonts w:hint="eastAsia" w:ascii="仿宋_GB2312" w:hAnsi="宋体" w:eastAsia="仿宋_GB2312"/>
          <w:b/>
          <w:sz w:val="32"/>
          <w:szCs w:val="32"/>
        </w:rPr>
        <w:t>工程履约金、质保金：</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sz w:val="24"/>
          <w:u w:val="single"/>
        </w:rPr>
      </w:pPr>
      <w:r>
        <w:rPr>
          <w:rFonts w:hint="eastAsia"/>
          <w:sz w:val="24"/>
        </w:rPr>
        <w:t>1、履约担保的金额和担保时间：</w:t>
      </w:r>
      <w:r>
        <w:rPr>
          <w:rFonts w:hint="eastAsia"/>
          <w:sz w:val="24"/>
          <w:u w:val="single"/>
        </w:rPr>
        <w:t>履约担保的金额</w:t>
      </w:r>
      <w:r>
        <w:rPr>
          <w:rFonts w:hint="eastAsia"/>
          <w:sz w:val="24"/>
          <w:u w:val="single"/>
          <w:lang w:val="en-US" w:eastAsia="zh-CN"/>
        </w:rPr>
        <w:t>3</w:t>
      </w:r>
      <w:r>
        <w:rPr>
          <w:rFonts w:hint="eastAsia"/>
          <w:sz w:val="24"/>
          <w:u w:val="single"/>
        </w:rPr>
        <w:t>万元，乙方应在合同签订之日起</w:t>
      </w:r>
      <w:r>
        <w:rPr>
          <w:sz w:val="24"/>
          <w:u w:val="single"/>
        </w:rPr>
        <w:t>7</w:t>
      </w:r>
      <w:r>
        <w:rPr>
          <w:rFonts w:hint="eastAsia"/>
          <w:sz w:val="24"/>
          <w:u w:val="single"/>
        </w:rPr>
        <w:t>日内提交。</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sz w:val="24"/>
          <w:u w:val="single"/>
        </w:rPr>
      </w:pPr>
      <w:r>
        <w:rPr>
          <w:rFonts w:hint="eastAsia"/>
          <w:sz w:val="24"/>
          <w:u w:val="single"/>
        </w:rPr>
        <w:t>2、履约保证金在乙方完成工程量的10%，经甲方验收质量合格后7个工作日内，无息退还给乙方。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sz w:val="24"/>
          <w:u w:val="single"/>
        </w:rPr>
      </w:pPr>
      <w:r>
        <w:rPr>
          <w:rFonts w:hint="eastAsia" w:ascii="宋体" w:hAnsi="宋体" w:cs="仿宋"/>
          <w:sz w:val="24"/>
          <w:u w:val="single"/>
        </w:rPr>
        <w:t>3、工程质保金：本项约定的工程质保金同时具有履约保证金、农民工工资保证金、工程质量保证金的效力，从每期乙方的工程结算款额中预留（工程结算款的</w:t>
      </w:r>
      <w:r>
        <w:rPr>
          <w:rFonts w:hint="eastAsia" w:ascii="宋体" w:hAnsi="宋体" w:cs="仿宋"/>
          <w:sz w:val="24"/>
          <w:u w:val="single"/>
          <w:lang w:val="en-US" w:eastAsia="zh-CN"/>
        </w:rPr>
        <w:t>40</w:t>
      </w:r>
      <w:r>
        <w:rPr>
          <w:rFonts w:hint="eastAsia" w:ascii="宋体" w:hAnsi="宋体" w:cs="仿宋"/>
          <w:sz w:val="24"/>
          <w:u w:val="single"/>
        </w:rPr>
        <w:t>%），</w:t>
      </w:r>
      <w:r>
        <w:rPr>
          <w:rFonts w:hint="eastAsia"/>
          <w:color w:val="000000"/>
          <w:sz w:val="24"/>
          <w:highlight w:val="none"/>
          <w:u w:val="single"/>
        </w:rPr>
        <w:t>完成合同承包内容</w:t>
      </w:r>
      <w:r>
        <w:rPr>
          <w:rFonts w:hint="eastAsia"/>
          <w:color w:val="000000"/>
          <w:sz w:val="24"/>
          <w:highlight w:val="none"/>
          <w:u w:val="single"/>
          <w:lang w:eastAsia="zh-CN"/>
        </w:rPr>
        <w:t>经监理、业主分部工程预验收合格</w:t>
      </w:r>
      <w:r>
        <w:rPr>
          <w:rFonts w:hint="eastAsia"/>
          <w:color w:val="000000"/>
          <w:sz w:val="24"/>
          <w:highlight w:val="none"/>
          <w:u w:val="single"/>
        </w:rPr>
        <w:t>且具备退场条件支付</w:t>
      </w:r>
      <w:r>
        <w:rPr>
          <w:rFonts w:hint="eastAsia"/>
          <w:color w:val="000000"/>
          <w:sz w:val="24"/>
          <w:highlight w:val="none"/>
          <w:u w:val="single"/>
          <w:lang w:val="en-US" w:eastAsia="zh-CN"/>
        </w:rPr>
        <w:t>20%，</w:t>
      </w:r>
      <w:r>
        <w:rPr>
          <w:rFonts w:hint="eastAsia" w:ascii="宋体" w:hAnsi="宋体" w:cs="仿宋"/>
          <w:sz w:val="24"/>
          <w:u w:val="single"/>
        </w:rPr>
        <w:t>待工程完工验收合格后，在乙方未违约的前提下,甲方无息返还乙方已预留质保金的15%，剩余5%的质保金待业主审计后，甲方按业主支付后同步支付给乙方，工程质保金的退还均不计息。</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3" w:firstLineChars="200"/>
        <w:textAlignment w:val="auto"/>
        <w:rPr>
          <w:color w:val="000000"/>
          <w:sz w:val="24"/>
        </w:rPr>
      </w:pPr>
      <w:r>
        <w:rPr>
          <w:rFonts w:hint="eastAsia" w:ascii="仿宋_GB2312" w:hAnsi="宋体" w:eastAsia="仿宋_GB2312"/>
          <w:b/>
          <w:sz w:val="32"/>
          <w:szCs w:val="32"/>
        </w:rPr>
        <w:t>第五条</w:t>
      </w:r>
      <w:r>
        <w:rPr>
          <w:rFonts w:hint="eastAsia" w:ascii="仿宋_GB2312" w:hAnsi="宋体" w:eastAsia="仿宋_GB2312"/>
          <w:b/>
          <w:sz w:val="32"/>
          <w:szCs w:val="32"/>
          <w:lang w:val="en-US" w:eastAsia="zh-CN"/>
        </w:rPr>
        <w:t>.</w:t>
      </w:r>
      <w:r>
        <w:rPr>
          <w:rFonts w:hint="eastAsia" w:ascii="仿宋_GB2312" w:hAnsi="宋体" w:eastAsia="仿宋_GB2312"/>
          <w:b/>
          <w:sz w:val="32"/>
          <w:szCs w:val="32"/>
        </w:rPr>
        <w:t>工程量确认、工程价款结算与拨付办法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color w:val="000000"/>
          <w:sz w:val="24"/>
        </w:rPr>
      </w:pPr>
      <w:r>
        <w:rPr>
          <w:rFonts w:hint="eastAsia"/>
          <w:b/>
          <w:bCs/>
          <w:color w:val="000000"/>
          <w:sz w:val="24"/>
        </w:rPr>
        <w:t>（一）工程量确认</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color w:val="000000"/>
          <w:sz w:val="24"/>
        </w:rPr>
      </w:pPr>
      <w:r>
        <w:rPr>
          <w:rFonts w:hint="eastAsia"/>
          <w:color w:val="000000"/>
          <w:sz w:val="24"/>
        </w:rPr>
        <w:t>1、</w:t>
      </w:r>
      <w:r>
        <w:rPr>
          <w:rFonts w:hint="eastAsia" w:ascii="宋体"/>
          <w:sz w:val="24"/>
        </w:rPr>
        <w:t>工程量清单中所列工程数量是估算的或设计的预计数量，仅作为投标的共同基础，不能作为最终结算与支付的依据。</w:t>
      </w:r>
      <w:r>
        <w:rPr>
          <w:rFonts w:hint="eastAsia"/>
          <w:color w:val="000000"/>
          <w:sz w:val="24"/>
        </w:rPr>
        <w:t>结算工程量需经过甲方验收合格，以乙方实际完成并经双方签（确）认的数量为准。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color w:val="000000"/>
          <w:sz w:val="24"/>
        </w:rPr>
      </w:pPr>
      <w:r>
        <w:rPr>
          <w:rFonts w:hint="eastAsia"/>
          <w:color w:val="000000"/>
          <w:sz w:val="24"/>
        </w:rPr>
        <w:t>2、甲方组织现场验收时，乙方必须参加，乙方如拒不参加或缺席甲方组织的现场收验方，视为认可甲方收（验）方结果。乙方未经甲方确认，超出合同范围和乙方原因造成返工的工程量，甲方不予计量。收（验）方时乙方必须按甲方要求提供甲方所需的技术资料，否则不予计量。</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color w:val="000000"/>
          <w:sz w:val="24"/>
        </w:rPr>
      </w:pPr>
      <w:r>
        <w:rPr>
          <w:rFonts w:hint="eastAsia"/>
          <w:color w:val="000000"/>
          <w:sz w:val="24"/>
        </w:rPr>
        <w:t>3、由于乙方措施不当，控制不严，作业失误等原因，或未按图纸、技术交底、施工规范、作业指导书等进行工作，造成的超设计数量、返工数量或不符合质量标准(包括设计尺寸)的工程量，甲方不予计量，由此产生的费用、质量问题和事故责任均由乙方负责。</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color w:val="000000" w:themeColor="text1"/>
          <w:sz w:val="24"/>
        </w:rPr>
      </w:pPr>
      <w:r>
        <w:rPr>
          <w:rFonts w:hint="eastAsia"/>
          <w:color w:val="000000" w:themeColor="text1"/>
          <w:sz w:val="24"/>
        </w:rPr>
        <w:t>4、结算工程量需经过甲方验收合格，以乙方实际完成并经双方签（确）认的数量为准，结算工程量以</w:t>
      </w:r>
      <w:r>
        <w:rPr>
          <w:rFonts w:hint="eastAsia"/>
          <w:color w:val="000000" w:themeColor="text1"/>
          <w:sz w:val="24"/>
          <w:lang w:val="en-US" w:eastAsia="zh-CN"/>
        </w:rPr>
        <w:t>甲方与业主计量长度</w:t>
      </w:r>
      <w:r>
        <w:rPr>
          <w:rFonts w:hint="eastAsia"/>
          <w:color w:val="000000" w:themeColor="text1"/>
          <w:sz w:val="24"/>
        </w:rPr>
        <w:t>为依据，未经甲方认可，超出设计范围工程量，甲方不予计量。</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eastAsia="宋体"/>
          <w:color w:val="000000" w:themeColor="text1"/>
          <w:sz w:val="24"/>
          <w:lang w:val="en-US" w:eastAsia="zh-CN"/>
        </w:rPr>
      </w:pPr>
      <w:r>
        <w:rPr>
          <w:rFonts w:hint="eastAsia"/>
          <w:b/>
          <w:bCs/>
          <w:color w:val="000000"/>
          <w:sz w:val="24"/>
        </w:rPr>
        <w:t>（</w:t>
      </w:r>
      <w:r>
        <w:rPr>
          <w:rFonts w:hint="eastAsia"/>
          <w:b/>
          <w:bCs/>
          <w:color w:val="000000"/>
          <w:sz w:val="24"/>
          <w:lang w:eastAsia="zh-CN"/>
        </w:rPr>
        <w:t>二</w:t>
      </w:r>
      <w:r>
        <w:rPr>
          <w:rFonts w:hint="eastAsia"/>
          <w:b/>
          <w:bCs/>
          <w:color w:val="000000"/>
          <w:sz w:val="24"/>
        </w:rPr>
        <w:t>）</w:t>
      </w:r>
      <w:r>
        <w:rPr>
          <w:rFonts w:hint="eastAsia"/>
          <w:b/>
          <w:bCs/>
          <w:color w:val="000000"/>
          <w:sz w:val="24"/>
          <w:lang w:eastAsia="zh-CN"/>
        </w:rPr>
        <w:t>工程价款结算与拨付办法：</w:t>
      </w:r>
    </w:p>
    <w:p>
      <w:pPr>
        <w:keepNext w:val="0"/>
        <w:keepLines w:val="0"/>
        <w:pageBreakBefore w:val="0"/>
        <w:widowControl w:val="0"/>
        <w:tabs>
          <w:tab w:val="left" w:pos="1060"/>
        </w:tabs>
        <w:kinsoku/>
        <w:wordWrap/>
        <w:overflowPunct/>
        <w:topLinePunct w:val="0"/>
        <w:autoSpaceDE/>
        <w:autoSpaceDN/>
        <w:bidi w:val="0"/>
        <w:adjustRightInd/>
        <w:snapToGrid/>
        <w:spacing w:line="360" w:lineRule="auto"/>
        <w:ind w:left="0" w:leftChars="0" w:firstLine="480" w:firstLineChars="200"/>
        <w:textAlignment w:val="auto"/>
        <w:rPr>
          <w:color w:val="000000"/>
          <w:sz w:val="24"/>
        </w:rPr>
      </w:pPr>
      <w:r>
        <w:rPr>
          <w:rFonts w:hint="eastAsia"/>
          <w:color w:val="000000"/>
          <w:sz w:val="24"/>
          <w:lang w:val="en-US" w:eastAsia="zh-CN"/>
        </w:rPr>
        <w:t>1、</w:t>
      </w:r>
      <w:r>
        <w:rPr>
          <w:rFonts w:hint="eastAsia" w:ascii="宋体" w:hAnsi="宋体" w:cs="仿宋"/>
          <w:sz w:val="24"/>
        </w:rPr>
        <w:t>乙方按月编制进度报表，每月25日前向甲方报当月计量报表。根据甲方结算审核程序，由甲方管理人员核对乙方申请工程进度款，项目部相关人员进行审核并办理当期工程款结算。</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eastAsia="宋体"/>
          <w:color w:val="000000"/>
          <w:sz w:val="24"/>
          <w:lang w:val="en-US" w:eastAsia="zh-CN"/>
        </w:rPr>
      </w:pPr>
      <w:r>
        <w:rPr>
          <w:rFonts w:hint="eastAsia"/>
          <w:color w:val="000000"/>
          <w:sz w:val="24"/>
        </w:rPr>
        <w:t>2、根据当月项目部报送业主的计量款到位后，</w:t>
      </w:r>
      <w:r>
        <w:rPr>
          <w:rFonts w:hint="eastAsia"/>
          <w:color w:val="000000"/>
          <w:sz w:val="24"/>
          <w:lang w:val="en-US" w:eastAsia="zh-CN"/>
        </w:rPr>
        <w:t>在甲乙双方共同验收合格的工程量基础上合格部分按60%结算</w:t>
      </w:r>
      <w:r>
        <w:rPr>
          <w:rFonts w:hint="eastAsia"/>
          <w:color w:val="000000"/>
          <w:sz w:val="24"/>
        </w:rPr>
        <w:t>；</w:t>
      </w:r>
      <w:r>
        <w:rPr>
          <w:rFonts w:hint="eastAsia"/>
          <w:color w:val="000000"/>
          <w:sz w:val="24"/>
          <w:highlight w:val="none"/>
        </w:rPr>
        <w:t>完成合同承包内容</w:t>
      </w:r>
      <w:r>
        <w:rPr>
          <w:rFonts w:hint="eastAsia"/>
          <w:color w:val="000000"/>
          <w:sz w:val="24"/>
          <w:highlight w:val="none"/>
          <w:lang w:eastAsia="zh-CN"/>
        </w:rPr>
        <w:t>经监理、业主分部工程预验收合格</w:t>
      </w:r>
      <w:r>
        <w:rPr>
          <w:rFonts w:hint="eastAsia"/>
          <w:color w:val="000000"/>
          <w:sz w:val="24"/>
          <w:highlight w:val="none"/>
        </w:rPr>
        <w:t>且具备退场条件支付至</w:t>
      </w:r>
      <w:r>
        <w:rPr>
          <w:rFonts w:hint="eastAsia"/>
          <w:color w:val="000000"/>
          <w:sz w:val="24"/>
          <w:highlight w:val="none"/>
          <w:lang w:val="en-US" w:eastAsia="zh-CN"/>
        </w:rPr>
        <w:t>80</w:t>
      </w:r>
      <w:r>
        <w:rPr>
          <w:rFonts w:hint="eastAsia"/>
          <w:color w:val="000000"/>
          <w:sz w:val="24"/>
          <w:highlight w:val="none"/>
        </w:rPr>
        <w:t>%</w:t>
      </w:r>
      <w:r>
        <w:rPr>
          <w:rFonts w:hint="eastAsia" w:ascii="宋体" w:hAnsi="宋体" w:cs="仿宋"/>
          <w:sz w:val="24"/>
        </w:rPr>
        <w:t>，待</w:t>
      </w:r>
      <w:r>
        <w:rPr>
          <w:rFonts w:hint="eastAsia" w:ascii="宋体" w:hAnsi="宋体" w:cs="仿宋"/>
          <w:sz w:val="24"/>
          <w:lang w:val="en-US" w:eastAsia="zh-CN"/>
        </w:rPr>
        <w:t>工程交工验收后，业主计量款到位一个月内支付至95%，剩余5%待业主审计后，甲方按业主支付后同步支付给乙方，质保金退还均不计息。</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color w:val="000000"/>
          <w:sz w:val="24"/>
        </w:rPr>
      </w:pPr>
      <w:r>
        <w:rPr>
          <w:rFonts w:hint="eastAsia"/>
          <w:color w:val="000000"/>
          <w:sz w:val="24"/>
        </w:rPr>
        <w:t>3、</w:t>
      </w:r>
      <w:r>
        <w:rPr>
          <w:rFonts w:hint="eastAsia"/>
          <w:b/>
          <w:bCs/>
          <w:color w:val="000000"/>
          <w:sz w:val="24"/>
          <w:lang w:eastAsia="zh-CN"/>
        </w:rPr>
        <w:t>如合同采用含税单价，</w:t>
      </w:r>
      <w:r>
        <w:rPr>
          <w:rFonts w:hint="eastAsia"/>
          <w:color w:val="000000"/>
          <w:sz w:val="24"/>
        </w:rPr>
        <w:t>验工计价是付款的前提，乙方必须按照合同约定的增值税税率和类型提供足额的增值税专用发票，方可获得合同约定的付款节点以及比例工程款。</w:t>
      </w:r>
    </w:p>
    <w:p>
      <w:pPr>
        <w:keepNext w:val="0"/>
        <w:keepLines w:val="0"/>
        <w:pageBreakBefore w:val="0"/>
        <w:widowControl w:val="0"/>
        <w:tabs>
          <w:tab w:val="left" w:pos="1060"/>
        </w:tabs>
        <w:kinsoku/>
        <w:wordWrap/>
        <w:overflowPunct/>
        <w:topLinePunct w:val="0"/>
        <w:autoSpaceDE/>
        <w:autoSpaceDN/>
        <w:bidi w:val="0"/>
        <w:adjustRightInd/>
        <w:snapToGrid/>
        <w:spacing w:line="360" w:lineRule="auto"/>
        <w:ind w:left="0" w:leftChars="0" w:firstLine="480" w:firstLineChars="200"/>
        <w:textAlignment w:val="auto"/>
        <w:rPr>
          <w:rFonts w:ascii="宋体" w:hAnsi="宋体" w:cs="仿宋"/>
          <w:sz w:val="24"/>
        </w:rPr>
      </w:pPr>
      <w:r>
        <w:rPr>
          <w:rFonts w:hint="eastAsia" w:ascii="宋体" w:hAnsi="宋体" w:cs="仿宋"/>
          <w:sz w:val="24"/>
        </w:rPr>
        <w:t>4、</w:t>
      </w:r>
      <w:r>
        <w:rPr>
          <w:rFonts w:hint="eastAsia" w:ascii="宋体" w:hAnsi="宋体" w:cs="仿宋"/>
          <w:b/>
          <w:bCs/>
          <w:sz w:val="24"/>
          <w:lang w:eastAsia="zh-CN"/>
        </w:rPr>
        <w:t>如合同采用含税单价</w:t>
      </w:r>
      <w:r>
        <w:rPr>
          <w:rFonts w:hint="eastAsia" w:ascii="宋体" w:hAnsi="宋体" w:cs="仿宋"/>
          <w:sz w:val="24"/>
          <w:lang w:eastAsia="zh-CN"/>
        </w:rPr>
        <w:t>，需</w:t>
      </w:r>
      <w:r>
        <w:rPr>
          <w:rFonts w:hint="eastAsia" w:ascii="宋体" w:hAnsi="宋体" w:cs="仿宋"/>
          <w:sz w:val="24"/>
        </w:rPr>
        <w:t>遵循</w:t>
      </w:r>
      <w:r>
        <w:rPr>
          <w:rFonts w:hint="eastAsia" w:ascii="宋体" w:hAnsi="宋体" w:cs="仿宋"/>
          <w:b/>
          <w:bCs/>
          <w:sz w:val="24"/>
        </w:rPr>
        <w:t>“先结算、后开票、再付款”</w:t>
      </w:r>
      <w:r>
        <w:rPr>
          <w:rFonts w:hint="eastAsia" w:ascii="宋体" w:hAnsi="宋体" w:cs="仿宋"/>
          <w:sz w:val="24"/>
        </w:rPr>
        <w:t>的原则，在甲方审核乙方的当期结算数据后，乙方根据甲方核定的结算数据及时提供增值税专用发票，每期工程款结算前乙方应及时提供合法有效增值税专用发票（发票中应注明工程类型、数量、单价、含税价格、增值税税率及增值税，并与原工程量量相符），并按实际情况，准确填写发票项目。甲方在确认发票所注明的工程类型、数量、单价、总价合理，并验证发票真伪，在其他支付手续完整后</w:t>
      </w:r>
      <w:r>
        <w:rPr>
          <w:rFonts w:hint="eastAsia" w:ascii="宋体" w:hAnsi="宋体" w:cs="仿宋"/>
          <w:sz w:val="24"/>
          <w:u w:val="single"/>
        </w:rPr>
        <w:t>7</w:t>
      </w:r>
      <w:r>
        <w:rPr>
          <w:rFonts w:hint="eastAsia" w:ascii="宋体" w:hAnsi="宋体" w:cs="仿宋"/>
          <w:sz w:val="24"/>
        </w:rPr>
        <w:t>天内向乙方付款。</w:t>
      </w:r>
    </w:p>
    <w:p>
      <w:pPr>
        <w:keepNext w:val="0"/>
        <w:keepLines w:val="0"/>
        <w:pageBreakBefore w:val="0"/>
        <w:widowControl w:val="0"/>
        <w:tabs>
          <w:tab w:val="left" w:pos="1060"/>
        </w:tabs>
        <w:kinsoku/>
        <w:wordWrap/>
        <w:overflowPunct/>
        <w:topLinePunct w:val="0"/>
        <w:autoSpaceDE/>
        <w:autoSpaceDN/>
        <w:bidi w:val="0"/>
        <w:adjustRightInd/>
        <w:snapToGrid/>
        <w:spacing w:line="360" w:lineRule="auto"/>
        <w:ind w:left="0" w:leftChars="0" w:firstLine="480" w:firstLineChars="200"/>
        <w:textAlignment w:val="auto"/>
        <w:rPr>
          <w:rFonts w:ascii="宋体" w:hAnsi="宋体" w:cs="仿宋"/>
          <w:sz w:val="24"/>
        </w:rPr>
      </w:pPr>
      <w:r>
        <w:rPr>
          <w:rFonts w:hint="eastAsia" w:ascii="宋体" w:hAnsi="宋体" w:cs="仿宋"/>
          <w:sz w:val="24"/>
        </w:rPr>
        <w:t>5、甲方开票信息</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ascii="宋体" w:hAnsi="宋体"/>
          <w:sz w:val="24"/>
        </w:rPr>
      </w:pPr>
      <w:r>
        <w:rPr>
          <w:rFonts w:hint="eastAsia" w:ascii="宋体" w:hAnsi="宋体"/>
          <w:sz w:val="24"/>
        </w:rPr>
        <w:t>名称：福建路港（集团）有限公司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ascii="宋体" w:hAnsi="宋体"/>
          <w:sz w:val="24"/>
        </w:rPr>
      </w:pPr>
      <w:r>
        <w:rPr>
          <w:rFonts w:hint="eastAsia" w:ascii="宋体" w:hAnsi="宋体"/>
          <w:sz w:val="24"/>
        </w:rPr>
        <w:t>纳税人识别号：91350500775358403B</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ascii="宋体" w:hAnsi="宋体"/>
          <w:sz w:val="24"/>
        </w:rPr>
      </w:pPr>
      <w:r>
        <w:rPr>
          <w:rFonts w:hint="eastAsia" w:ascii="宋体" w:hAnsi="宋体"/>
          <w:sz w:val="24"/>
        </w:rPr>
        <w:t>地址：泉州台商投资区杏秀路名都花苑C幢商住楼二层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ascii="宋体" w:hAnsi="宋体"/>
          <w:sz w:val="24"/>
        </w:rPr>
      </w:pPr>
      <w:r>
        <w:rPr>
          <w:rFonts w:hint="eastAsia" w:ascii="宋体" w:hAnsi="宋体"/>
          <w:sz w:val="24"/>
        </w:rPr>
        <w:t>电话：0595-28758888</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ascii="宋体" w:hAnsi="宋体"/>
          <w:sz w:val="24"/>
        </w:rPr>
      </w:pPr>
      <w:r>
        <w:rPr>
          <w:rFonts w:hint="eastAsia" w:ascii="宋体" w:hAnsi="宋体"/>
          <w:sz w:val="24"/>
        </w:rPr>
        <w:t>开户行：中国建设银行股份有限公司泉州洛江支行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ascii="宋体" w:hAnsi="宋体" w:cs="仿宋"/>
          <w:sz w:val="24"/>
        </w:rPr>
      </w:pPr>
      <w:r>
        <w:rPr>
          <w:rFonts w:hint="eastAsia" w:ascii="宋体" w:hAnsi="宋体"/>
          <w:sz w:val="24"/>
        </w:rPr>
        <w:t>账号：35001656907052520012</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3" w:firstLineChars="200"/>
        <w:textAlignment w:val="auto"/>
        <w:outlineLvl w:val="2"/>
        <w:rPr>
          <w:rFonts w:ascii="黑体" w:eastAsia="黑体"/>
          <w:bCs/>
          <w:sz w:val="24"/>
        </w:rPr>
      </w:pPr>
      <w:bookmarkStart w:id="6" w:name="_Toc235873666"/>
      <w:r>
        <w:rPr>
          <w:rFonts w:hint="eastAsia" w:ascii="仿宋_GB2312" w:hAnsi="宋体" w:eastAsia="仿宋_GB2312"/>
          <w:b/>
          <w:sz w:val="32"/>
          <w:szCs w:val="32"/>
        </w:rPr>
        <w:t>第六条</w:t>
      </w:r>
      <w:r>
        <w:rPr>
          <w:rFonts w:hint="eastAsia" w:ascii="仿宋_GB2312" w:hAnsi="宋体" w:eastAsia="仿宋_GB2312"/>
          <w:b/>
          <w:sz w:val="32"/>
          <w:szCs w:val="32"/>
          <w:lang w:val="en-US" w:eastAsia="zh-CN"/>
        </w:rPr>
        <w:t>.</w:t>
      </w:r>
      <w:r>
        <w:rPr>
          <w:rFonts w:hint="eastAsia" w:ascii="仿宋_GB2312" w:hAnsi="宋体" w:eastAsia="仿宋_GB2312"/>
          <w:b/>
          <w:sz w:val="32"/>
          <w:szCs w:val="32"/>
        </w:rPr>
        <w:t>甲乙双方的责任</w:t>
      </w:r>
      <w:bookmarkEnd w:id="6"/>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outlineLvl w:val="3"/>
        <w:rPr>
          <w:rFonts w:ascii="宋体"/>
          <w:sz w:val="24"/>
        </w:rPr>
      </w:pPr>
      <w:r>
        <w:rPr>
          <w:rFonts w:hint="eastAsia" w:ascii="宋体"/>
          <w:b/>
          <w:sz w:val="24"/>
        </w:rPr>
        <w:t>（一）甲方提供的三通一平条件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eastAsia="宋体"/>
          <w:sz w:val="24"/>
          <w:lang w:eastAsia="zh-CN"/>
        </w:rPr>
      </w:pPr>
      <w:r>
        <w:rPr>
          <w:rFonts w:hint="eastAsia" w:ascii="宋体"/>
          <w:sz w:val="24"/>
          <w:lang w:val="en-US" w:eastAsia="zh-CN"/>
        </w:rPr>
        <w:t>1</w:t>
      </w:r>
      <w:r>
        <w:rPr>
          <w:rFonts w:hint="eastAsia" w:ascii="宋体"/>
          <w:sz w:val="24"/>
        </w:rPr>
        <w:t>、</w:t>
      </w:r>
      <w:r>
        <w:rPr>
          <w:rFonts w:hint="eastAsia"/>
          <w:color w:val="000000"/>
          <w:sz w:val="24"/>
          <w:lang w:eastAsia="zh-CN"/>
        </w:rPr>
        <w:t>绿化工程</w:t>
      </w:r>
      <w:r>
        <w:rPr>
          <w:rFonts w:hint="eastAsia"/>
          <w:color w:val="000000"/>
          <w:sz w:val="24"/>
        </w:rPr>
        <w:t>：</w:t>
      </w:r>
      <w:r>
        <w:rPr>
          <w:rFonts w:hint="eastAsia" w:ascii="宋体"/>
          <w:sz w:val="24"/>
        </w:rPr>
        <w:t>甲方负责</w:t>
      </w:r>
      <w:r>
        <w:rPr>
          <w:rFonts w:hint="eastAsia" w:ascii="宋体"/>
          <w:sz w:val="24"/>
          <w:lang w:val="en-US" w:eastAsia="zh-CN"/>
        </w:rPr>
        <w:t>主线</w:t>
      </w:r>
      <w:r>
        <w:rPr>
          <w:rFonts w:hint="eastAsia" w:ascii="宋体"/>
          <w:sz w:val="24"/>
        </w:rPr>
        <w:t>便道</w:t>
      </w:r>
      <w:r>
        <w:rPr>
          <w:rFonts w:hint="eastAsia" w:ascii="宋体"/>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ascii="宋体"/>
          <w:sz w:val="24"/>
        </w:rPr>
      </w:pPr>
      <w:r>
        <w:rPr>
          <w:rFonts w:hint="eastAsia" w:ascii="宋体"/>
          <w:sz w:val="24"/>
          <w:lang w:val="en-US" w:eastAsia="zh-CN"/>
        </w:rPr>
        <w:t>2</w:t>
      </w:r>
      <w:r>
        <w:rPr>
          <w:rFonts w:hint="eastAsia" w:ascii="宋体"/>
          <w:sz w:val="24"/>
        </w:rPr>
        <w:t>、甲方负责生产用电高压端线路架设及变压器安装、架设距工点100米外支线低压端线路，并为每个标段预留一个低压端接入口（主线路），预留低压端接入口至施工点用电线路由乙方自行考虑并承担费用，生产用电电费由甲方负责，生活用电电费按工程所在地电力部门的有关收费标准由甲方向乙方收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ascii="宋体"/>
          <w:sz w:val="24"/>
        </w:rPr>
      </w:pPr>
      <w:r>
        <w:rPr>
          <w:rFonts w:hint="eastAsia" w:ascii="宋体"/>
          <w:sz w:val="24"/>
          <w:lang w:val="en-US" w:eastAsia="zh-CN"/>
        </w:rPr>
        <w:t>3</w:t>
      </w:r>
      <w:r>
        <w:rPr>
          <w:rFonts w:hint="eastAsia" w:ascii="宋体"/>
          <w:sz w:val="24"/>
        </w:rPr>
        <w:t>、生产生活用水由乙方自行解决。生活用房由乙方自行解决，但需服从甲方的管理并达到《福建省普通公路施工标准化指南》的要求。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2"/>
        <w:rPr>
          <w:sz w:val="24"/>
        </w:rPr>
      </w:pPr>
      <w:r>
        <w:rPr>
          <w:rFonts w:hint="eastAsia"/>
          <w:sz w:val="24"/>
          <w:lang w:val="en-US" w:eastAsia="zh-CN"/>
        </w:rPr>
        <w:t>4</w:t>
      </w:r>
      <w:r>
        <w:rPr>
          <w:rFonts w:hint="eastAsia"/>
          <w:sz w:val="24"/>
        </w:rPr>
        <w:t>、标准化生产费用（甲方提供场地、变压器、标识标牌、其余均由乙方提供，乙方提供机械人工，包括安装，保护，拆除回收等工作）</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2"/>
        <w:rPr>
          <w:sz w:val="24"/>
        </w:rPr>
      </w:pPr>
      <w:r>
        <w:rPr>
          <w:rFonts w:hint="eastAsia"/>
          <w:sz w:val="24"/>
          <w:lang w:val="en-US" w:eastAsia="zh-CN"/>
        </w:rPr>
        <w:t>5</w:t>
      </w:r>
      <w:r>
        <w:rPr>
          <w:rFonts w:hint="eastAsia"/>
          <w:sz w:val="24"/>
        </w:rPr>
        <w:t>、工程变更：甲方应于工程变更确认后，在5个工作日内以书面形式通知乙方。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outlineLvl w:val="3"/>
        <w:rPr>
          <w:rFonts w:ascii="宋体"/>
          <w:b/>
          <w:sz w:val="24"/>
        </w:rPr>
      </w:pPr>
      <w:r>
        <w:rPr>
          <w:rFonts w:hint="eastAsia" w:ascii="宋体"/>
          <w:b/>
          <w:sz w:val="24"/>
        </w:rPr>
        <w:t>（二）甲方提供的物资设备及费用</w:t>
      </w:r>
    </w:p>
    <w:p>
      <w:pPr>
        <w:keepNext w:val="0"/>
        <w:keepLines w:val="0"/>
        <w:pageBreakBefore w:val="0"/>
        <w:widowControl w:val="0"/>
        <w:numPr>
          <w:ilvl w:val="0"/>
          <w:numId w:val="3"/>
        </w:numPr>
        <w:tabs>
          <w:tab w:val="left" w:pos="900"/>
          <w:tab w:val="clear" w:pos="840"/>
        </w:tabs>
        <w:kinsoku/>
        <w:wordWrap/>
        <w:overflowPunct/>
        <w:topLinePunct w:val="0"/>
        <w:autoSpaceDE/>
        <w:autoSpaceDN/>
        <w:bidi w:val="0"/>
        <w:adjustRightInd/>
        <w:snapToGrid/>
        <w:spacing w:line="360" w:lineRule="auto"/>
        <w:ind w:left="0" w:leftChars="0" w:firstLine="480" w:firstLineChars="200"/>
        <w:textAlignment w:val="auto"/>
        <w:rPr>
          <w:rFonts w:ascii="宋体"/>
          <w:sz w:val="24"/>
        </w:rPr>
      </w:pPr>
      <w:r>
        <w:rPr>
          <w:rFonts w:hint="eastAsia" w:ascii="宋体"/>
          <w:sz w:val="24"/>
        </w:rPr>
        <w:t>主要材料</w:t>
      </w:r>
      <w:r>
        <w:rPr>
          <w:rFonts w:hint="eastAsia" w:ascii="宋体"/>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宋体" w:eastAsia="宋体"/>
          <w:sz w:val="24"/>
          <w:lang w:val="en-US" w:eastAsia="zh-CN"/>
        </w:rPr>
      </w:pPr>
      <w:r>
        <w:rPr>
          <w:rFonts w:hint="eastAsia"/>
          <w:color w:val="000000"/>
          <w:sz w:val="24"/>
          <w:lang w:eastAsia="zh-CN"/>
        </w:rPr>
        <w:t>绿化工程</w:t>
      </w:r>
      <w:r>
        <w:rPr>
          <w:rFonts w:hint="eastAsia"/>
          <w:color w:val="000000"/>
          <w:sz w:val="24"/>
        </w:rPr>
        <w:t>：</w:t>
      </w:r>
      <w:r>
        <w:rPr>
          <w:rFonts w:hint="eastAsia" w:ascii="宋体"/>
          <w:sz w:val="24"/>
          <w:lang w:eastAsia="zh-CN"/>
        </w:rPr>
        <w:t>锚杆、钢筋、</w:t>
      </w:r>
      <w:r>
        <w:rPr>
          <w:rFonts w:hint="eastAsia" w:ascii="宋体"/>
          <w:sz w:val="24"/>
          <w:lang w:val="en-US" w:eastAsia="zh-CN"/>
        </w:rPr>
        <w:t>C20砼。</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sz w:val="24"/>
        </w:rPr>
      </w:pPr>
      <w:r>
        <w:rPr>
          <w:rFonts w:hint="eastAsia" w:ascii="宋体"/>
          <w:sz w:val="24"/>
        </w:rPr>
        <w:t>甲方提供的主要材料的费用计算原则：</w:t>
      </w:r>
    </w:p>
    <w:p>
      <w:pPr>
        <w:keepNext w:val="0"/>
        <w:keepLines w:val="0"/>
        <w:pageBreakBefore w:val="0"/>
        <w:widowControl w:val="0"/>
        <w:numPr>
          <w:ilvl w:val="0"/>
          <w:numId w:val="3"/>
        </w:numPr>
        <w:tabs>
          <w:tab w:val="left" w:pos="900"/>
          <w:tab w:val="clear" w:pos="840"/>
        </w:tabs>
        <w:kinsoku/>
        <w:wordWrap/>
        <w:overflowPunct/>
        <w:topLinePunct w:val="0"/>
        <w:autoSpaceDE/>
        <w:autoSpaceDN/>
        <w:bidi w:val="0"/>
        <w:adjustRightInd/>
        <w:snapToGrid/>
        <w:spacing w:line="360" w:lineRule="auto"/>
        <w:ind w:left="0" w:leftChars="0" w:firstLine="480" w:firstLineChars="200"/>
        <w:textAlignment w:val="auto"/>
        <w:rPr>
          <w:rFonts w:hint="eastAsia" w:ascii="宋体"/>
          <w:sz w:val="24"/>
        </w:rPr>
      </w:pPr>
      <w:r>
        <w:rPr>
          <w:rFonts w:hint="eastAsia" w:ascii="宋体"/>
          <w:sz w:val="24"/>
          <w:lang w:eastAsia="zh-CN"/>
        </w:rPr>
        <w:t>乙方</w:t>
      </w:r>
      <w:r>
        <w:rPr>
          <w:rFonts w:hint="eastAsia" w:ascii="宋体"/>
          <w:sz w:val="24"/>
        </w:rPr>
        <w:t>使用甲方提供的材料总量超出设计图纸所示总量加上场内运输及操作损耗的部分（</w:t>
      </w:r>
      <w:r>
        <w:rPr>
          <w:rFonts w:hint="eastAsia" w:ascii="宋体"/>
          <w:sz w:val="24"/>
          <w:lang w:eastAsia="zh-CN"/>
        </w:rPr>
        <w:t>损耗率</w:t>
      </w:r>
      <w:r>
        <w:rPr>
          <w:rFonts w:hint="eastAsia" w:ascii="宋体"/>
          <w:sz w:val="24"/>
        </w:rPr>
        <w:t>按JTG/T 3832—2018《公路工程预算定额》的有关规定计算），甲方将按供应期间的《主要材料单价表》计算材料价款并在乙方工程款中相应扣除。乙方必须配置相应人数的材料管理员，负责材料管理和与甲方材料管理部门及相关部门的业务联系。并接受甲方项目管理人员的指导、监督和考核。甲供材料到达现场后由乙方指派的人员（即有权领料人，需附乙方授权委托书、身份证及手签名）签字验收。</w:t>
      </w:r>
    </w:p>
    <w:p>
      <w:pPr>
        <w:keepNext w:val="0"/>
        <w:keepLines w:val="0"/>
        <w:pageBreakBefore w:val="0"/>
        <w:widowControl w:val="0"/>
        <w:numPr>
          <w:ilvl w:val="0"/>
          <w:numId w:val="3"/>
        </w:numPr>
        <w:tabs>
          <w:tab w:val="left" w:pos="900"/>
          <w:tab w:val="clear" w:pos="840"/>
        </w:tabs>
        <w:kinsoku/>
        <w:wordWrap/>
        <w:overflowPunct/>
        <w:topLinePunct w:val="0"/>
        <w:autoSpaceDE/>
        <w:autoSpaceDN/>
        <w:bidi w:val="0"/>
        <w:adjustRightInd/>
        <w:snapToGrid/>
        <w:spacing w:line="360" w:lineRule="auto"/>
        <w:ind w:left="0" w:leftChars="0" w:firstLine="480" w:firstLineChars="200"/>
        <w:textAlignment w:val="auto"/>
        <w:rPr>
          <w:rFonts w:ascii="宋体"/>
          <w:sz w:val="24"/>
        </w:rPr>
      </w:pPr>
      <w:r>
        <w:rPr>
          <w:rFonts w:hint="eastAsia" w:ascii="宋体"/>
          <w:sz w:val="24"/>
        </w:rPr>
        <w:t>乙方建立材料收耗台账，形成月对账制度，每月至少与甲方对账一次，属于乙方的材料费、工具费，也要建立收耗台账并负责费用核算，办理材料、器具的领用或租用手续，超耗赔付。</w:t>
      </w:r>
    </w:p>
    <w:p>
      <w:pPr>
        <w:keepNext w:val="0"/>
        <w:keepLines w:val="0"/>
        <w:pageBreakBefore w:val="0"/>
        <w:widowControl w:val="0"/>
        <w:numPr>
          <w:ilvl w:val="0"/>
          <w:numId w:val="3"/>
        </w:numPr>
        <w:tabs>
          <w:tab w:val="left" w:pos="900"/>
          <w:tab w:val="clear" w:pos="840"/>
        </w:tabs>
        <w:kinsoku/>
        <w:wordWrap/>
        <w:overflowPunct/>
        <w:topLinePunct w:val="0"/>
        <w:autoSpaceDE/>
        <w:autoSpaceDN/>
        <w:bidi w:val="0"/>
        <w:adjustRightInd/>
        <w:snapToGrid/>
        <w:spacing w:line="360" w:lineRule="auto"/>
        <w:ind w:left="0" w:leftChars="0" w:firstLine="480" w:firstLineChars="200"/>
        <w:textAlignment w:val="auto"/>
        <w:rPr>
          <w:rFonts w:ascii="宋体"/>
          <w:sz w:val="24"/>
        </w:rPr>
      </w:pPr>
      <w:r>
        <w:rPr>
          <w:rFonts w:hint="eastAsia" w:ascii="宋体" w:hAnsi="宋体"/>
          <w:sz w:val="24"/>
        </w:rPr>
        <w:t>甲供材料由甲方运输至施工现场。乙方负责卸车和材料的保管，</w:t>
      </w:r>
      <w:r>
        <w:rPr>
          <w:rFonts w:hint="eastAsia" w:ascii="宋体"/>
          <w:sz w:val="24"/>
        </w:rPr>
        <w:t>承担材料在工地内二次或多次转运以及工程结束后结余材料的人工、机械装卸车。</w:t>
      </w:r>
      <w:r>
        <w:rPr>
          <w:rFonts w:hint="eastAsia" w:ascii="宋体" w:hAnsi="宋体"/>
          <w:sz w:val="24"/>
        </w:rPr>
        <w:t>若乙方领用后发生材料丢失，一切损失均由乙方承担。</w:t>
      </w:r>
      <w:r>
        <w:rPr>
          <w:rFonts w:hint="eastAsia" w:ascii="宋体" w:hAnsi="宋体"/>
          <w:color w:val="000000" w:themeColor="text1"/>
          <w:sz w:val="24"/>
        </w:rPr>
        <w:t>甲供材料的二次转运费由乙方负责。</w:t>
      </w:r>
    </w:p>
    <w:p>
      <w:pPr>
        <w:keepNext w:val="0"/>
        <w:keepLines w:val="0"/>
        <w:pageBreakBefore w:val="0"/>
        <w:widowControl w:val="0"/>
        <w:numPr>
          <w:ilvl w:val="0"/>
          <w:numId w:val="3"/>
        </w:numPr>
        <w:tabs>
          <w:tab w:val="left" w:pos="900"/>
          <w:tab w:val="clear" w:pos="840"/>
        </w:tabs>
        <w:kinsoku/>
        <w:wordWrap/>
        <w:overflowPunct/>
        <w:topLinePunct w:val="0"/>
        <w:autoSpaceDE/>
        <w:autoSpaceDN/>
        <w:bidi w:val="0"/>
        <w:adjustRightInd/>
        <w:snapToGrid/>
        <w:spacing w:line="360" w:lineRule="auto"/>
        <w:ind w:left="0" w:leftChars="0" w:firstLine="480" w:firstLineChars="200"/>
        <w:textAlignment w:val="auto"/>
        <w:rPr>
          <w:rFonts w:ascii="宋体"/>
          <w:sz w:val="24"/>
        </w:rPr>
      </w:pPr>
      <w:r>
        <w:rPr>
          <w:rFonts w:hint="eastAsia" w:ascii="宋体" w:hAnsi="宋体"/>
          <w:sz w:val="24"/>
        </w:rPr>
        <w:t>乙方自购的所有材料应有三证，即出厂合格证、说明书、检验试验报告单，并经甲方或监理工程师现场验收合格后方可使用。未经检验或验收不合格的材料严禁使用，验收不合格的材料立即清除出场。</w:t>
      </w:r>
    </w:p>
    <w:p>
      <w:pPr>
        <w:keepNext w:val="0"/>
        <w:keepLines w:val="0"/>
        <w:pageBreakBefore w:val="0"/>
        <w:widowControl w:val="0"/>
        <w:numPr>
          <w:ilvl w:val="0"/>
          <w:numId w:val="3"/>
        </w:numPr>
        <w:tabs>
          <w:tab w:val="left" w:pos="900"/>
          <w:tab w:val="clear" w:pos="840"/>
        </w:tabs>
        <w:kinsoku/>
        <w:wordWrap/>
        <w:overflowPunct/>
        <w:topLinePunct w:val="0"/>
        <w:autoSpaceDE/>
        <w:autoSpaceDN/>
        <w:bidi w:val="0"/>
        <w:adjustRightInd/>
        <w:snapToGrid/>
        <w:spacing w:line="360" w:lineRule="auto"/>
        <w:ind w:left="0" w:leftChars="0" w:firstLine="480" w:firstLineChars="200"/>
        <w:textAlignment w:val="auto"/>
        <w:rPr>
          <w:rFonts w:ascii="宋体"/>
          <w:sz w:val="24"/>
        </w:rPr>
      </w:pPr>
      <w:r>
        <w:rPr>
          <w:rFonts w:hint="eastAsia" w:ascii="宋体"/>
          <w:sz w:val="24"/>
        </w:rPr>
        <w:t>机械设备：</w:t>
      </w:r>
    </w:p>
    <w:p>
      <w:pPr>
        <w:keepNext w:val="0"/>
        <w:keepLines w:val="0"/>
        <w:pageBreakBefore w:val="0"/>
        <w:widowControl w:val="0"/>
        <w:tabs>
          <w:tab w:val="left" w:pos="840"/>
          <w:tab w:val="left" w:pos="900"/>
        </w:tabs>
        <w:kinsoku/>
        <w:wordWrap/>
        <w:overflowPunct/>
        <w:topLinePunct w:val="0"/>
        <w:autoSpaceDE/>
        <w:autoSpaceDN/>
        <w:bidi w:val="0"/>
        <w:adjustRightInd/>
        <w:snapToGrid/>
        <w:spacing w:line="360" w:lineRule="auto"/>
        <w:ind w:left="0" w:leftChars="0" w:firstLine="480" w:firstLineChars="200"/>
        <w:textAlignment w:val="auto"/>
        <w:rPr>
          <w:rFonts w:ascii="宋体"/>
          <w:sz w:val="24"/>
        </w:rPr>
      </w:pPr>
      <w:r>
        <w:rPr>
          <w:rFonts w:hint="eastAsia" w:ascii="宋体"/>
          <w:sz w:val="24"/>
        </w:rPr>
        <w:t>（</w:t>
      </w:r>
      <w:r>
        <w:rPr>
          <w:rFonts w:hint="eastAsia"/>
          <w:color w:val="000000"/>
          <w:sz w:val="24"/>
        </w:rPr>
        <w:t>1）乙方根据甲方工程进度的要求并结合经甲方审核后的施工计划，配备足够的</w:t>
      </w:r>
      <w:r>
        <w:rPr>
          <w:rFonts w:hint="eastAsia" w:ascii="宋体" w:hAnsi="宋体"/>
          <w:sz w:val="24"/>
        </w:rPr>
        <w:t>工程机械设备，配备的机械设备数量及型号不低于乙方投标文件附表3所列要求。</w:t>
      </w:r>
    </w:p>
    <w:p>
      <w:pPr>
        <w:keepNext w:val="0"/>
        <w:keepLines w:val="0"/>
        <w:pageBreakBefore w:val="0"/>
        <w:widowControl w:val="0"/>
        <w:tabs>
          <w:tab w:val="left" w:pos="840"/>
          <w:tab w:val="left" w:pos="900"/>
        </w:tabs>
        <w:kinsoku/>
        <w:wordWrap/>
        <w:overflowPunct/>
        <w:topLinePunct w:val="0"/>
        <w:autoSpaceDE/>
        <w:autoSpaceDN/>
        <w:bidi w:val="0"/>
        <w:adjustRightInd/>
        <w:snapToGrid/>
        <w:spacing w:line="360" w:lineRule="auto"/>
        <w:ind w:left="0" w:leftChars="0" w:firstLine="480" w:firstLineChars="200"/>
        <w:textAlignment w:val="auto"/>
        <w:rPr>
          <w:rFonts w:ascii="宋体" w:hAnsi="宋体"/>
          <w:sz w:val="24"/>
        </w:rPr>
      </w:pPr>
      <w:r>
        <w:rPr>
          <w:rFonts w:hint="eastAsia" w:ascii="宋体" w:hAnsi="宋体"/>
          <w:sz w:val="24"/>
        </w:rPr>
        <w:t>（</w:t>
      </w:r>
      <w:r>
        <w:rPr>
          <w:rFonts w:hint="eastAsia"/>
          <w:color w:val="000000"/>
          <w:sz w:val="24"/>
        </w:rPr>
        <w:t>2）</w:t>
      </w:r>
      <w:r>
        <w:rPr>
          <w:rFonts w:hint="eastAsia" w:ascii="宋体" w:hAnsi="宋体"/>
          <w:sz w:val="24"/>
        </w:rPr>
        <w:t>甲方根据现场实际情况提供部分设备给乙方使用，但租赁费用由乙方承担。若甲方需临时租用乙方设备，双方另行签订设备租赁协议。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ascii="宋体" w:hAnsi="宋体"/>
          <w:sz w:val="24"/>
        </w:rPr>
      </w:pPr>
      <w:r>
        <w:rPr>
          <w:rFonts w:hint="eastAsia" w:ascii="宋体" w:hAnsi="宋体"/>
          <w:sz w:val="24"/>
        </w:rPr>
        <w:t>（3）</w:t>
      </w:r>
      <w:r>
        <w:rPr>
          <w:rFonts w:hint="eastAsia" w:ascii="宋体" w:hAnsi="宋体"/>
          <w:color w:val="000000" w:themeColor="text1"/>
          <w:sz w:val="24"/>
        </w:rPr>
        <w:t>甲方提供机械用油，从乙方工程款项扣除。</w:t>
      </w:r>
    </w:p>
    <w:p>
      <w:pPr>
        <w:keepNext w:val="0"/>
        <w:keepLines w:val="0"/>
        <w:pageBreakBefore w:val="0"/>
        <w:widowControl w:val="0"/>
        <w:numPr>
          <w:ilvl w:val="0"/>
          <w:numId w:val="3"/>
        </w:numPr>
        <w:tabs>
          <w:tab w:val="left" w:pos="993"/>
          <w:tab w:val="clear" w:pos="840"/>
        </w:tabs>
        <w:kinsoku/>
        <w:wordWrap/>
        <w:overflowPunct/>
        <w:topLinePunct w:val="0"/>
        <w:autoSpaceDE/>
        <w:autoSpaceDN/>
        <w:bidi w:val="0"/>
        <w:adjustRightInd/>
        <w:snapToGrid/>
        <w:spacing w:line="360" w:lineRule="auto"/>
        <w:ind w:left="0" w:leftChars="0" w:firstLine="480" w:firstLineChars="200"/>
        <w:textAlignment w:val="auto"/>
        <w:rPr>
          <w:rFonts w:ascii="宋体"/>
          <w:sz w:val="24"/>
        </w:rPr>
      </w:pPr>
      <w:r>
        <w:rPr>
          <w:rFonts w:hint="eastAsia" w:ascii="宋体"/>
          <w:sz w:val="24"/>
        </w:rPr>
        <w:t>除上述甲方提供的材料、设备以外的所有主材地材、周转性材料、辅助材料、机械设备的采购、运输、加工制作、运营、保管等一切费用、工作均由乙方自行负责。如果需要甲方协助采备，甲方尽可能给予支持和提供方便，费用由乙方负责。</w:t>
      </w:r>
    </w:p>
    <w:p>
      <w:pPr>
        <w:keepNext w:val="0"/>
        <w:keepLines w:val="0"/>
        <w:pageBreakBefore w:val="0"/>
        <w:widowControl w:val="0"/>
        <w:numPr>
          <w:ilvl w:val="0"/>
          <w:numId w:val="4"/>
        </w:numPr>
        <w:tabs>
          <w:tab w:val="left" w:pos="993"/>
          <w:tab w:val="left" w:pos="1550"/>
          <w:tab w:val="left" w:pos="1740"/>
        </w:tabs>
        <w:kinsoku/>
        <w:wordWrap/>
        <w:overflowPunct/>
        <w:topLinePunct w:val="0"/>
        <w:autoSpaceDE/>
        <w:autoSpaceDN/>
        <w:bidi w:val="0"/>
        <w:adjustRightInd/>
        <w:snapToGrid/>
        <w:spacing w:line="360" w:lineRule="auto"/>
        <w:ind w:left="0" w:leftChars="0" w:firstLine="482" w:firstLineChars="200"/>
        <w:textAlignment w:val="auto"/>
        <w:rPr>
          <w:rFonts w:ascii="宋体"/>
          <w:sz w:val="24"/>
        </w:rPr>
      </w:pPr>
      <w:r>
        <w:rPr>
          <w:rFonts w:hint="eastAsia" w:ascii="宋体"/>
          <w:b/>
          <w:bCs w:val="0"/>
          <w:sz w:val="24"/>
        </w:rPr>
        <w:t>乙方责任：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color w:val="000000"/>
          <w:sz w:val="24"/>
        </w:rPr>
      </w:pPr>
      <w:r>
        <w:rPr>
          <w:rFonts w:hint="eastAsia"/>
          <w:color w:val="000000"/>
          <w:sz w:val="24"/>
        </w:rPr>
        <w:t>1、乙方根据甲方提供的施工图纸和进度要求，结合本班组和工程的实际情况在进场三天内，向甲方报送进度计划及施工方案，合理安排材料及机械，保证工程进度。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color w:val="000000"/>
          <w:sz w:val="24"/>
        </w:rPr>
      </w:pPr>
      <w:r>
        <w:rPr>
          <w:rFonts w:hint="eastAsia"/>
          <w:color w:val="000000"/>
          <w:sz w:val="24"/>
        </w:rPr>
        <w:t>2、乙方应按照施工图纸严格组织施工，根据甲方提供的技术交底，保证工程质量。</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color w:val="000000"/>
          <w:sz w:val="24"/>
          <w:lang w:val="en-US" w:eastAsia="zh-CN"/>
        </w:rPr>
      </w:pPr>
      <w:r>
        <w:rPr>
          <w:rFonts w:hint="eastAsia"/>
          <w:color w:val="000000"/>
          <w:sz w:val="24"/>
          <w:lang w:val="en-US" w:eastAsia="zh-CN"/>
        </w:rPr>
        <w:t>3、</w:t>
      </w:r>
      <w:r>
        <w:rPr>
          <w:rFonts w:hint="eastAsia"/>
          <w:color w:val="000000"/>
          <w:sz w:val="24"/>
        </w:rPr>
        <w:t>乙方应根据施工图纸和甲方提供的安全交底，结合班组和工程的实际情况，制定安全措施，加强对现场施工人员的安全教育，如发生事故的责任应由乙方全部承担，如与其它班组或人员有关的，甲方应配合协调处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color w:val="000000"/>
          <w:sz w:val="24"/>
        </w:rPr>
      </w:pPr>
      <w:r>
        <w:rPr>
          <w:rFonts w:hint="eastAsia"/>
          <w:color w:val="000000"/>
          <w:sz w:val="24"/>
          <w:lang w:val="en-US" w:eastAsia="zh-CN"/>
        </w:rPr>
        <w:t>4、</w:t>
      </w:r>
      <w:r>
        <w:rPr>
          <w:rFonts w:hint="eastAsia"/>
          <w:color w:val="000000"/>
          <w:sz w:val="24"/>
        </w:rPr>
        <w:t>乙方应在进场后三天以内，无条件提供相关证件配合甲方进行施工手续的报备。</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color w:val="000000"/>
          <w:sz w:val="24"/>
        </w:rPr>
      </w:pPr>
      <w:r>
        <w:rPr>
          <w:rFonts w:hint="eastAsia"/>
          <w:color w:val="000000"/>
          <w:sz w:val="24"/>
        </w:rPr>
        <w:t>5、</w:t>
      </w:r>
      <w:r>
        <w:rPr>
          <w:rFonts w:hint="eastAsia" w:ascii="宋体" w:hAnsi="宋体" w:cs="宋体"/>
          <w:color w:val="000000"/>
          <w:sz w:val="24"/>
        </w:rPr>
        <w:t>乙方必须配备一名责任心强、有丰富施工经验的人做兼职安全员，在甲方专职安全员的领导下工作，进行日常的检查、记录、报表、缺陷整改等工作的落实</w:t>
      </w:r>
      <w:r>
        <w:rPr>
          <w:rFonts w:hint="eastAsia"/>
          <w:color w:val="000000"/>
          <w:sz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color w:val="000000"/>
          <w:sz w:val="24"/>
        </w:rPr>
      </w:pPr>
      <w:r>
        <w:rPr>
          <w:rFonts w:hint="eastAsia"/>
          <w:color w:val="000000"/>
          <w:sz w:val="24"/>
        </w:rPr>
        <w:t>6、乙方无条件配合合同段内试验检测。</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color w:val="000000"/>
          <w:sz w:val="24"/>
        </w:rPr>
      </w:pPr>
      <w:r>
        <w:rPr>
          <w:rFonts w:hint="eastAsia"/>
          <w:color w:val="000000"/>
          <w:sz w:val="24"/>
        </w:rPr>
        <w:t>7、乙方每道工序完成以后，必须进行自检，合格后通知项目部有关质检人员进行验收。所有的隐蔽工程未经甲方及监理的验收签认，乙方不得私自进行隐蔽施工，否则造成的一切后果由乙方自负。</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ascii="宋体" w:hAnsi="宋体" w:cs="宋体"/>
          <w:color w:val="000000"/>
          <w:sz w:val="24"/>
        </w:rPr>
      </w:pPr>
      <w:r>
        <w:rPr>
          <w:rFonts w:hint="eastAsia"/>
          <w:color w:val="000000"/>
          <w:sz w:val="24"/>
        </w:rPr>
        <w:t>8、</w:t>
      </w:r>
      <w:r>
        <w:rPr>
          <w:rFonts w:hint="eastAsia" w:ascii="宋体" w:hAnsi="宋体" w:cs="宋体"/>
          <w:color w:val="000000"/>
          <w:sz w:val="24"/>
        </w:rPr>
        <w:t>乙方应随时接受业主、监理或甲方代表及其委派人员对施工内容进行质量检查检验，为检查检验提供便利条件，并按要求返工、修改、承担由自身原因导致返工、修改的费用。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ascii="宋体" w:hAnsi="宋体"/>
          <w:sz w:val="24"/>
        </w:rPr>
      </w:pPr>
      <w:r>
        <w:rPr>
          <w:rFonts w:hint="eastAsia" w:ascii="宋体" w:hAnsi="宋体"/>
          <w:sz w:val="24"/>
        </w:rPr>
        <w:t>9、劳务人员工资的发放：严格按照《福建省工程领域农民工工资专用账户管理暂行办法》执行，甲方建立工资专户管理制度，在工程项目所在地银行开设工资专户，乙方委托甲方代发工资，并与甲方签订《福建省工程建设领域农民工工资委托支付协议》。甲方协调开户银行为该项目农民工办理工资支付银行卡，甲方和乙方共同负责按月考核农民工工作量并编制工资表，工资表由乙方和农民工本人签字盖章确认，并在维权告示牌上公示。工资表公示无异议后由甲方加盖公章，每月按时提交开户银行。银行根据加盖公章的工资表、代发工资数据盘片，直接从工资专户向农民工个人银行账户划转工资。</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color w:val="000000"/>
          <w:sz w:val="24"/>
        </w:rPr>
      </w:pPr>
      <w:r>
        <w:rPr>
          <w:rFonts w:hint="eastAsia" w:ascii="宋体" w:hAnsi="宋体" w:cs="宋体"/>
          <w:color w:val="000000"/>
          <w:sz w:val="24"/>
        </w:rPr>
        <w:t>乙方应</w:t>
      </w:r>
      <w:r>
        <w:rPr>
          <w:rFonts w:hint="eastAsia" w:ascii="宋体" w:hAnsi="宋体"/>
          <w:sz w:val="24"/>
        </w:rPr>
        <w:t>做好劳务工管理工作，进场后</w:t>
      </w:r>
      <w:r>
        <w:rPr>
          <w:rFonts w:hint="eastAsia" w:ascii="宋体" w:hAnsi="宋体"/>
          <w:sz w:val="24"/>
          <w:u w:val="single"/>
        </w:rPr>
        <w:t>7</w:t>
      </w:r>
      <w:r>
        <w:rPr>
          <w:rFonts w:hint="eastAsia" w:ascii="宋体" w:hAnsi="宋体"/>
          <w:sz w:val="24"/>
        </w:rPr>
        <w:t>日内提供工人花名册与身份证件，人员变更的应在当日向甲方报告并提供相应人员的身份证件与联系电话。每月25日，乙方必须将本月的劳务人员动态表及工资表上报到甲方(动态表、工资表由甲方提供)，经甲方相关部门审核确认无误后，由甲方将本月劳务人员工资总额一次性交给乙方，乙方按甲方审核后的劳务人员工资表进行足额发放。如发现乙方有作假、欺骗等套取资金的行为或有与合同条款不符的行为发生时，甲方有权立即中止合同，其损失由乙方负责。当乙方延误劳务人员的工资发放时，甲方有权从乙方的任何工程款、履约金、保留金中直接发放给劳务人员，责任全部由乙方负责</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color w:val="000000"/>
          <w:sz w:val="24"/>
        </w:rPr>
      </w:pPr>
      <w:r>
        <w:rPr>
          <w:rFonts w:hint="eastAsia"/>
          <w:color w:val="000000"/>
          <w:sz w:val="24"/>
        </w:rPr>
        <w:t>10、进场后3日内报送机械相关资料与相应人员的体检合格资料，确保机械最低七成新，并按照甲方要求进行外观整理，即喷涂路港名称与标志。</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color w:val="000000"/>
          <w:sz w:val="24"/>
        </w:rPr>
      </w:pPr>
      <w:r>
        <w:rPr>
          <w:rFonts w:hint="eastAsia"/>
          <w:color w:val="000000"/>
          <w:sz w:val="24"/>
        </w:rPr>
        <w:t>11、乙方应确保施工人员酒后不准进入施工现场作业，如有发现，除每次交纳1000元罚款以外还应更换该违规人员。</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color w:val="000000"/>
          <w:sz w:val="24"/>
        </w:rPr>
      </w:pPr>
      <w:r>
        <w:rPr>
          <w:rFonts w:hint="eastAsia"/>
          <w:color w:val="000000"/>
          <w:sz w:val="24"/>
        </w:rPr>
        <w:t>12、乙方应确保工人住房和施工场地的干净、整洁，在房间不允许使用电炉和电棒烧水，如被上级部门或项目部检查不合格时，除立即整改，还应交纳1000元/次的违约金。</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ascii="宋体" w:hAnsi="宋体"/>
          <w:sz w:val="24"/>
        </w:rPr>
      </w:pPr>
      <w:r>
        <w:rPr>
          <w:rFonts w:hint="eastAsia"/>
          <w:color w:val="000000"/>
          <w:sz w:val="24"/>
        </w:rPr>
        <w:t>13、</w:t>
      </w:r>
      <w:r>
        <w:rPr>
          <w:rFonts w:hint="eastAsia" w:ascii="宋体" w:hAnsi="宋体"/>
          <w:sz w:val="24"/>
        </w:rPr>
        <w:t>乙方在施工过程中需购买机械设备或其它物资时应按甲方要求开具专用增值税发票，开票抬头信息：福建路港（集团）有限公司</w:t>
      </w:r>
      <w:r>
        <w:rPr>
          <w:rFonts w:hint="eastAsia"/>
          <w:color w:val="000000"/>
          <w:sz w:val="24"/>
        </w:rPr>
        <w:t>，否则应当承担甲方因此所造成的税收损失</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color w:val="000000"/>
          <w:sz w:val="24"/>
        </w:rPr>
      </w:pPr>
      <w:r>
        <w:rPr>
          <w:rFonts w:hint="eastAsia"/>
          <w:color w:val="000000"/>
          <w:sz w:val="24"/>
        </w:rPr>
        <w:t>14、乙方不得以任何理由，将自己从甲方取得的施工任务进行转包或分包，一经发现，甲方将没收乙方缴纳的全部保证金，并终止甲方与乙方所签订的合同，造成的损失由乙方承担。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color w:val="000000"/>
          <w:sz w:val="24"/>
        </w:rPr>
      </w:pPr>
      <w:r>
        <w:rPr>
          <w:rFonts w:hint="eastAsia"/>
          <w:color w:val="000000"/>
          <w:sz w:val="24"/>
        </w:rPr>
        <w:t>15、乙方签订合同的负责人在进场后应当保证每月25天以上在施工现场组织生产，如工程进度与质量均达到甲方要求的且经甲方项目负责人同意的，允许每月20天以上在施工现场，否则乙方应按5000元/天的标准向甲方交纳违约金。</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color w:val="000000"/>
          <w:sz w:val="24"/>
        </w:rPr>
      </w:pPr>
      <w:r>
        <w:rPr>
          <w:rFonts w:hint="eastAsia"/>
          <w:color w:val="000000"/>
          <w:sz w:val="24"/>
        </w:rPr>
        <w:t>16、</w:t>
      </w:r>
      <w:r>
        <w:rPr>
          <w:rFonts w:hint="eastAsia" w:ascii="宋体" w:hAnsi="宋体"/>
          <w:sz w:val="24"/>
        </w:rPr>
        <w:t>解决施工中出现的外围环境干扰并承担相应费用。</w:t>
      </w:r>
    </w:p>
    <w:p>
      <w:pPr>
        <w:keepNext w:val="0"/>
        <w:keepLines w:val="0"/>
        <w:pageBreakBefore w:val="0"/>
        <w:widowControl w:val="0"/>
        <w:tabs>
          <w:tab w:val="left" w:pos="3060"/>
        </w:tabs>
        <w:kinsoku/>
        <w:wordWrap/>
        <w:overflowPunct/>
        <w:topLinePunct w:val="0"/>
        <w:autoSpaceDE/>
        <w:autoSpaceDN/>
        <w:bidi w:val="0"/>
        <w:adjustRightInd/>
        <w:snapToGrid/>
        <w:spacing w:line="360" w:lineRule="auto"/>
        <w:ind w:left="0" w:leftChars="0" w:firstLine="480" w:firstLineChars="200"/>
        <w:textAlignment w:val="auto"/>
        <w:rPr>
          <w:rFonts w:ascii="宋体" w:hAnsi="宋体"/>
          <w:sz w:val="24"/>
        </w:rPr>
      </w:pPr>
      <w:r>
        <w:rPr>
          <w:rFonts w:hint="eastAsia" w:ascii="宋体" w:hAnsi="宋体"/>
          <w:color w:val="000000"/>
          <w:sz w:val="24"/>
        </w:rPr>
        <w:t>17、</w:t>
      </w:r>
      <w:r>
        <w:rPr>
          <w:rFonts w:hint="eastAsia" w:ascii="宋体" w:hAnsi="宋体"/>
          <w:sz w:val="24"/>
        </w:rPr>
        <w:t>乙方应配合甲方，按当地规定做好流动人口暂住的登记并承担其费用。</w:t>
      </w:r>
    </w:p>
    <w:p>
      <w:pPr>
        <w:keepNext w:val="0"/>
        <w:keepLines w:val="0"/>
        <w:pageBreakBefore w:val="0"/>
        <w:widowControl w:val="0"/>
        <w:tabs>
          <w:tab w:val="left" w:pos="3060"/>
        </w:tabs>
        <w:kinsoku/>
        <w:wordWrap/>
        <w:overflowPunct/>
        <w:topLinePunct w:val="0"/>
        <w:autoSpaceDE/>
        <w:autoSpaceDN/>
        <w:bidi w:val="0"/>
        <w:adjustRightInd/>
        <w:snapToGrid/>
        <w:spacing w:line="360" w:lineRule="auto"/>
        <w:ind w:left="0" w:leftChars="0" w:firstLine="480" w:firstLineChars="200"/>
        <w:textAlignment w:val="auto"/>
        <w:rPr>
          <w:rFonts w:ascii="宋体" w:hAnsi="宋体"/>
          <w:sz w:val="24"/>
        </w:rPr>
      </w:pPr>
      <w:r>
        <w:rPr>
          <w:rFonts w:hint="eastAsia"/>
          <w:color w:val="000000"/>
          <w:sz w:val="24"/>
        </w:rPr>
        <w:t>18、</w:t>
      </w:r>
      <w:r>
        <w:rPr>
          <w:rFonts w:hint="eastAsia" w:ascii="宋体" w:hAnsi="宋体"/>
          <w:sz w:val="24"/>
        </w:rPr>
        <w:t>尊重监理,</w:t>
      </w:r>
      <w:r>
        <w:rPr>
          <w:rFonts w:hint="eastAsia"/>
        </w:rPr>
        <w:t>诚</w:t>
      </w:r>
      <w:r>
        <w:rPr>
          <w:rFonts w:hint="eastAsia" w:ascii="宋体" w:hAnsi="宋体"/>
          <w:sz w:val="24"/>
        </w:rPr>
        <w:t>信履约，自觉维护甲方的信誉，对本工程内容、合同条款、价格负有保密义务。</w:t>
      </w:r>
    </w:p>
    <w:p>
      <w:pPr>
        <w:keepNext w:val="0"/>
        <w:keepLines w:val="0"/>
        <w:pageBreakBefore w:val="0"/>
        <w:widowControl w:val="0"/>
        <w:tabs>
          <w:tab w:val="left" w:pos="3060"/>
        </w:tabs>
        <w:kinsoku/>
        <w:wordWrap/>
        <w:overflowPunct/>
        <w:topLinePunct w:val="0"/>
        <w:autoSpaceDE/>
        <w:autoSpaceDN/>
        <w:bidi w:val="0"/>
        <w:adjustRightInd/>
        <w:snapToGrid/>
        <w:spacing w:line="360" w:lineRule="auto"/>
        <w:ind w:left="0" w:leftChars="0" w:firstLine="480" w:firstLineChars="200"/>
        <w:textAlignment w:val="auto"/>
        <w:rPr>
          <w:color w:val="000000"/>
          <w:sz w:val="24"/>
        </w:rPr>
      </w:pPr>
      <w:r>
        <w:rPr>
          <w:rFonts w:hint="eastAsia" w:ascii="宋体" w:hAnsi="宋体"/>
          <w:sz w:val="24"/>
        </w:rPr>
        <w:t>19、</w:t>
      </w:r>
      <w:r>
        <w:rPr>
          <w:rFonts w:hint="eastAsia"/>
          <w:color w:val="000000"/>
          <w:sz w:val="24"/>
        </w:rPr>
        <w:t>乙方人员吃、住等生活设施等由乙方自行解决，费用自理。</w:t>
      </w:r>
    </w:p>
    <w:p>
      <w:pPr>
        <w:keepNext w:val="0"/>
        <w:keepLines w:val="0"/>
        <w:pageBreakBefore w:val="0"/>
        <w:widowControl w:val="0"/>
        <w:tabs>
          <w:tab w:val="left" w:pos="3060"/>
        </w:tabs>
        <w:kinsoku/>
        <w:wordWrap/>
        <w:overflowPunct/>
        <w:topLinePunct w:val="0"/>
        <w:autoSpaceDE/>
        <w:autoSpaceDN/>
        <w:bidi w:val="0"/>
        <w:adjustRightInd/>
        <w:snapToGrid/>
        <w:spacing w:line="360" w:lineRule="auto"/>
        <w:ind w:left="0" w:leftChars="0" w:firstLine="480" w:firstLineChars="200"/>
        <w:textAlignment w:val="auto"/>
        <w:rPr>
          <w:color w:val="000000"/>
          <w:sz w:val="24"/>
        </w:rPr>
      </w:pPr>
      <w:r>
        <w:rPr>
          <w:rFonts w:hint="eastAsia"/>
          <w:color w:val="000000"/>
          <w:sz w:val="24"/>
        </w:rPr>
        <w:t>20、乙方必须服从甲方管理，不得怠慢，拖延，不胜任工作，无故停工、退场，转包，分包，对甲方造成损失，由乙方承担赔偿责任，按照违约处理（违约金为合同价格的10%），且甲方有权终止本合同，更换施工队伍。</w:t>
      </w:r>
    </w:p>
    <w:p>
      <w:pPr>
        <w:keepNext w:val="0"/>
        <w:keepLines w:val="0"/>
        <w:pageBreakBefore w:val="0"/>
        <w:widowControl w:val="0"/>
        <w:tabs>
          <w:tab w:val="left" w:pos="3060"/>
        </w:tabs>
        <w:kinsoku/>
        <w:wordWrap/>
        <w:overflowPunct/>
        <w:topLinePunct w:val="0"/>
        <w:autoSpaceDE/>
        <w:autoSpaceDN/>
        <w:bidi w:val="0"/>
        <w:adjustRightInd/>
        <w:snapToGrid/>
        <w:spacing w:line="360" w:lineRule="auto"/>
        <w:ind w:left="0" w:leftChars="0" w:firstLine="480" w:firstLineChars="200"/>
        <w:textAlignment w:val="auto"/>
        <w:rPr>
          <w:color w:val="000000"/>
          <w:sz w:val="24"/>
        </w:rPr>
      </w:pPr>
      <w:r>
        <w:rPr>
          <w:rFonts w:hint="eastAsia" w:ascii="宋体"/>
          <w:sz w:val="24"/>
        </w:rPr>
        <w:t>21、乙方原因造成的上级部门、监理或业主对项目部进行的处罚，由乙方承担，并从当月的计量款中扣除。乙方拒不履行，甲方可代为履行，费用按2倍从当月计量款中扣除。</w:t>
      </w:r>
    </w:p>
    <w:p>
      <w:pPr>
        <w:keepNext w:val="0"/>
        <w:keepLines w:val="0"/>
        <w:pageBreakBefore w:val="0"/>
        <w:widowControl w:val="0"/>
        <w:numPr>
          <w:ilvl w:val="0"/>
          <w:numId w:val="4"/>
        </w:numPr>
        <w:tabs>
          <w:tab w:val="left" w:pos="993"/>
          <w:tab w:val="left" w:pos="1550"/>
          <w:tab w:val="left" w:pos="1740"/>
        </w:tabs>
        <w:kinsoku/>
        <w:wordWrap/>
        <w:overflowPunct/>
        <w:topLinePunct w:val="0"/>
        <w:autoSpaceDE/>
        <w:autoSpaceDN/>
        <w:bidi w:val="0"/>
        <w:adjustRightInd/>
        <w:snapToGrid/>
        <w:spacing w:line="360" w:lineRule="auto"/>
        <w:ind w:left="0" w:leftChars="0" w:firstLine="482" w:firstLineChars="200"/>
        <w:textAlignment w:val="auto"/>
        <w:rPr>
          <w:rFonts w:ascii="宋体"/>
          <w:sz w:val="24"/>
        </w:rPr>
      </w:pPr>
      <w:r>
        <w:rPr>
          <w:rFonts w:hint="eastAsia" w:ascii="宋体"/>
          <w:b/>
          <w:bCs/>
          <w:sz w:val="24"/>
        </w:rPr>
        <w:t>质量要求：</w:t>
      </w:r>
    </w:p>
    <w:p>
      <w:pPr>
        <w:keepNext w:val="0"/>
        <w:keepLines w:val="0"/>
        <w:pageBreakBefore w:val="0"/>
        <w:widowControl w:val="0"/>
        <w:tabs>
          <w:tab w:val="left" w:pos="993"/>
          <w:tab w:val="left" w:pos="1550"/>
          <w:tab w:val="left" w:pos="1740"/>
        </w:tabs>
        <w:kinsoku/>
        <w:wordWrap/>
        <w:overflowPunct/>
        <w:topLinePunct w:val="0"/>
        <w:autoSpaceDE/>
        <w:autoSpaceDN/>
        <w:bidi w:val="0"/>
        <w:adjustRightInd/>
        <w:snapToGrid/>
        <w:spacing w:line="360" w:lineRule="auto"/>
        <w:ind w:left="0" w:leftChars="0" w:firstLine="480" w:firstLineChars="200"/>
        <w:textAlignment w:val="auto"/>
        <w:rPr>
          <w:rFonts w:hint="default" w:ascii="宋体" w:eastAsia="宋体"/>
          <w:sz w:val="24"/>
          <w:lang w:val="en-US" w:eastAsia="zh-CN"/>
        </w:rPr>
      </w:pPr>
      <w:r>
        <w:rPr>
          <w:rFonts w:hint="eastAsia" w:ascii="宋体"/>
          <w:sz w:val="24"/>
        </w:rPr>
        <w:t>1、</w:t>
      </w:r>
      <w:r>
        <w:rPr>
          <w:rFonts w:hint="eastAsia" w:ascii="宋体"/>
          <w:sz w:val="24"/>
          <w:lang w:eastAsia="zh-CN"/>
        </w:rPr>
        <w:t>坡面绿化的覆盖率</w:t>
      </w:r>
      <w:r>
        <w:rPr>
          <w:rFonts w:hint="eastAsia" w:ascii="宋体"/>
          <w:sz w:val="24"/>
          <w:lang w:val="en-US" w:eastAsia="zh-CN"/>
        </w:rPr>
        <w:t>100%，成活率符合验收标准。</w:t>
      </w:r>
    </w:p>
    <w:p>
      <w:pPr>
        <w:keepNext w:val="0"/>
        <w:keepLines w:val="0"/>
        <w:pageBreakBefore w:val="0"/>
        <w:widowControl w:val="0"/>
        <w:tabs>
          <w:tab w:val="left" w:pos="993"/>
          <w:tab w:val="left" w:pos="1550"/>
          <w:tab w:val="left" w:pos="1740"/>
        </w:tabs>
        <w:kinsoku/>
        <w:wordWrap/>
        <w:overflowPunct/>
        <w:topLinePunct w:val="0"/>
        <w:autoSpaceDE/>
        <w:autoSpaceDN/>
        <w:bidi w:val="0"/>
        <w:adjustRightInd/>
        <w:snapToGrid/>
        <w:spacing w:line="360" w:lineRule="auto"/>
        <w:ind w:left="0" w:leftChars="0" w:firstLine="480" w:firstLineChars="200"/>
        <w:textAlignment w:val="auto"/>
        <w:rPr>
          <w:rFonts w:hint="eastAsia" w:ascii="宋体" w:eastAsia="宋体"/>
          <w:sz w:val="24"/>
          <w:lang w:eastAsia="zh-CN"/>
        </w:rPr>
      </w:pPr>
      <w:r>
        <w:rPr>
          <w:rFonts w:hint="eastAsia" w:ascii="宋体"/>
          <w:sz w:val="24"/>
        </w:rPr>
        <w:t>2、</w:t>
      </w:r>
      <w:r>
        <w:rPr>
          <w:rFonts w:hint="eastAsia" w:ascii="宋体"/>
          <w:sz w:val="24"/>
          <w:lang w:eastAsia="zh-CN"/>
        </w:rPr>
        <w:t>清理边坡的石头杂物，边坡如有不平整，应进行修整，使其平顺。如果边坡表土不适应植草时，应改换成符合要求的种植土。</w:t>
      </w:r>
    </w:p>
    <w:p>
      <w:pPr>
        <w:keepNext w:val="0"/>
        <w:keepLines w:val="0"/>
        <w:pageBreakBefore w:val="0"/>
        <w:widowControl w:val="0"/>
        <w:tabs>
          <w:tab w:val="left" w:pos="993"/>
          <w:tab w:val="left" w:pos="1550"/>
          <w:tab w:val="left" w:pos="1740"/>
        </w:tabs>
        <w:kinsoku/>
        <w:wordWrap/>
        <w:overflowPunct/>
        <w:topLinePunct w:val="0"/>
        <w:autoSpaceDE/>
        <w:autoSpaceDN/>
        <w:bidi w:val="0"/>
        <w:adjustRightInd/>
        <w:snapToGrid/>
        <w:spacing w:line="360" w:lineRule="auto"/>
        <w:ind w:left="0" w:leftChars="0" w:firstLine="480" w:firstLineChars="200"/>
        <w:textAlignment w:val="auto"/>
        <w:rPr>
          <w:rFonts w:hint="eastAsia" w:ascii="宋体" w:eastAsia="宋体"/>
          <w:sz w:val="24"/>
          <w:lang w:eastAsia="zh-CN"/>
        </w:rPr>
      </w:pPr>
      <w:r>
        <w:rPr>
          <w:rFonts w:hint="eastAsia" w:ascii="宋体"/>
          <w:sz w:val="24"/>
        </w:rPr>
        <w:t>3、</w:t>
      </w:r>
      <w:r>
        <w:rPr>
          <w:rFonts w:hint="eastAsia" w:ascii="宋体"/>
          <w:sz w:val="24"/>
          <w:lang w:eastAsia="zh-CN"/>
        </w:rPr>
        <w:t>乙方负责养护，保持植物生长所需要的水分，同时注意施肥、病虫害防治、除杂草、补植等管养工作。</w:t>
      </w:r>
    </w:p>
    <w:p>
      <w:pPr>
        <w:keepNext w:val="0"/>
        <w:keepLines w:val="0"/>
        <w:pageBreakBefore w:val="0"/>
        <w:widowControl w:val="0"/>
        <w:tabs>
          <w:tab w:val="left" w:pos="993"/>
          <w:tab w:val="left" w:pos="1550"/>
          <w:tab w:val="left" w:pos="1740"/>
        </w:tabs>
        <w:kinsoku/>
        <w:wordWrap/>
        <w:overflowPunct/>
        <w:topLinePunct w:val="0"/>
        <w:autoSpaceDE/>
        <w:autoSpaceDN/>
        <w:bidi w:val="0"/>
        <w:adjustRightInd/>
        <w:snapToGrid/>
        <w:spacing w:line="360" w:lineRule="auto"/>
        <w:ind w:left="0" w:leftChars="0" w:firstLine="480" w:firstLineChars="200"/>
        <w:textAlignment w:val="auto"/>
        <w:rPr>
          <w:rFonts w:hint="eastAsia" w:ascii="宋体" w:eastAsia="宋体"/>
          <w:sz w:val="24"/>
          <w:lang w:eastAsia="zh-CN"/>
        </w:rPr>
      </w:pPr>
      <w:r>
        <w:rPr>
          <w:rFonts w:hint="eastAsia" w:ascii="宋体"/>
          <w:sz w:val="24"/>
        </w:rPr>
        <w:t>4、</w:t>
      </w:r>
      <w:r>
        <w:rPr>
          <w:rFonts w:hint="eastAsia" w:ascii="宋体"/>
          <w:sz w:val="24"/>
          <w:lang w:eastAsia="zh-CN"/>
        </w:rPr>
        <w:t>种植完成后，应及时覆盖土工布。</w:t>
      </w:r>
    </w:p>
    <w:p>
      <w:pPr>
        <w:keepNext w:val="0"/>
        <w:keepLines w:val="0"/>
        <w:pageBreakBefore w:val="0"/>
        <w:widowControl w:val="0"/>
        <w:tabs>
          <w:tab w:val="left" w:pos="993"/>
          <w:tab w:val="left" w:pos="1550"/>
          <w:tab w:val="left" w:pos="1740"/>
        </w:tabs>
        <w:kinsoku/>
        <w:wordWrap/>
        <w:overflowPunct/>
        <w:topLinePunct w:val="0"/>
        <w:autoSpaceDE/>
        <w:autoSpaceDN/>
        <w:bidi w:val="0"/>
        <w:adjustRightInd/>
        <w:snapToGrid/>
        <w:spacing w:line="360" w:lineRule="auto"/>
        <w:ind w:left="0" w:leftChars="0" w:firstLine="480" w:firstLineChars="200"/>
        <w:textAlignment w:val="auto"/>
        <w:rPr>
          <w:rFonts w:hint="eastAsia" w:ascii="宋体" w:eastAsia="宋体"/>
          <w:sz w:val="24"/>
          <w:lang w:eastAsia="zh-CN"/>
        </w:rPr>
      </w:pPr>
      <w:r>
        <w:rPr>
          <w:rFonts w:hint="eastAsia" w:ascii="宋体"/>
          <w:sz w:val="24"/>
        </w:rPr>
        <w:t>5、</w:t>
      </w:r>
      <w:r>
        <w:rPr>
          <w:rFonts w:hint="eastAsia" w:ascii="宋体"/>
          <w:sz w:val="24"/>
          <w:lang w:eastAsia="zh-CN"/>
        </w:rPr>
        <w:t>挂网时，边坡平整度应符合设计要求。</w:t>
      </w:r>
    </w:p>
    <w:p>
      <w:pPr>
        <w:keepNext w:val="0"/>
        <w:keepLines w:val="0"/>
        <w:pageBreakBefore w:val="0"/>
        <w:widowControl w:val="0"/>
        <w:tabs>
          <w:tab w:val="left" w:pos="993"/>
          <w:tab w:val="left" w:pos="1550"/>
          <w:tab w:val="left" w:pos="1740"/>
        </w:tabs>
        <w:kinsoku/>
        <w:wordWrap/>
        <w:overflowPunct/>
        <w:topLinePunct w:val="0"/>
        <w:autoSpaceDE/>
        <w:autoSpaceDN/>
        <w:bidi w:val="0"/>
        <w:adjustRightInd/>
        <w:snapToGrid/>
        <w:spacing w:line="360" w:lineRule="auto"/>
        <w:ind w:left="0" w:leftChars="0" w:firstLine="480" w:firstLineChars="200"/>
        <w:textAlignment w:val="auto"/>
        <w:rPr>
          <w:rFonts w:ascii="宋体"/>
          <w:sz w:val="24"/>
        </w:rPr>
      </w:pPr>
      <w:r>
        <w:rPr>
          <w:rFonts w:hint="eastAsia" w:ascii="宋体"/>
          <w:sz w:val="24"/>
        </w:rPr>
        <w:t>6、</w:t>
      </w:r>
      <w:r>
        <w:rPr>
          <w:rFonts w:hint="eastAsia" w:ascii="宋体"/>
          <w:sz w:val="24"/>
          <w:lang w:eastAsia="zh-CN"/>
        </w:rPr>
        <w:t>锚杆的间距及固定方式应符合设计要求。</w:t>
      </w:r>
    </w:p>
    <w:p>
      <w:pPr>
        <w:keepNext w:val="0"/>
        <w:keepLines w:val="0"/>
        <w:pageBreakBefore w:val="0"/>
        <w:widowControl w:val="0"/>
        <w:tabs>
          <w:tab w:val="left" w:pos="993"/>
          <w:tab w:val="left" w:pos="1550"/>
          <w:tab w:val="left" w:pos="1740"/>
        </w:tabs>
        <w:kinsoku/>
        <w:wordWrap/>
        <w:overflowPunct/>
        <w:topLinePunct w:val="0"/>
        <w:autoSpaceDE/>
        <w:autoSpaceDN/>
        <w:bidi w:val="0"/>
        <w:adjustRightInd/>
        <w:snapToGrid/>
        <w:spacing w:line="360" w:lineRule="auto"/>
        <w:ind w:left="0" w:leftChars="0" w:firstLine="480" w:firstLineChars="200"/>
        <w:textAlignment w:val="auto"/>
        <w:rPr>
          <w:rFonts w:ascii="宋体"/>
          <w:sz w:val="24"/>
        </w:rPr>
      </w:pPr>
      <w:r>
        <w:rPr>
          <w:rFonts w:hint="eastAsia" w:hAnsi="宋体"/>
          <w:bCs/>
          <w:sz w:val="24"/>
          <w:lang w:eastAsia="zh-CN"/>
        </w:rPr>
        <w:t>绿化工程应</w:t>
      </w:r>
      <w:r>
        <w:rPr>
          <w:rFonts w:hAnsi="宋体"/>
          <w:bCs/>
          <w:sz w:val="24"/>
        </w:rPr>
        <w:t>符合现行交通运输部《公路工程质量检验评定标准》、《公路工程竣（交）工验收办法》合格标准及福建省、福州市普通公路建设项目标准化管理要求。</w:t>
      </w:r>
      <w:r>
        <w:rPr>
          <w:rFonts w:hint="eastAsia" w:ascii="宋体"/>
          <w:sz w:val="24"/>
        </w:rPr>
        <w:t>乙方所承担项目的分项工程质量合格率100%，交工验收质量综合评分90分以上，竣工验收达到合格等级。</w:t>
      </w:r>
    </w:p>
    <w:p>
      <w:pPr>
        <w:keepNext w:val="0"/>
        <w:keepLines w:val="0"/>
        <w:pageBreakBefore w:val="0"/>
        <w:widowControl w:val="0"/>
        <w:tabs>
          <w:tab w:val="left" w:pos="993"/>
          <w:tab w:val="left" w:pos="1550"/>
          <w:tab w:val="left" w:pos="1740"/>
        </w:tabs>
        <w:kinsoku/>
        <w:wordWrap/>
        <w:overflowPunct/>
        <w:topLinePunct w:val="0"/>
        <w:autoSpaceDE/>
        <w:autoSpaceDN/>
        <w:bidi w:val="0"/>
        <w:adjustRightInd/>
        <w:snapToGrid/>
        <w:spacing w:line="360" w:lineRule="auto"/>
        <w:ind w:left="0" w:leftChars="0" w:firstLine="482" w:firstLineChars="200"/>
        <w:textAlignment w:val="auto"/>
        <w:rPr>
          <w:rFonts w:ascii="宋体"/>
          <w:sz w:val="24"/>
        </w:rPr>
      </w:pPr>
      <w:r>
        <w:rPr>
          <w:rFonts w:hint="eastAsia" w:ascii="宋体"/>
          <w:b/>
          <w:bCs/>
          <w:sz w:val="24"/>
        </w:rPr>
        <w:t>（五）工期要求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sz w:val="24"/>
        </w:rPr>
      </w:pPr>
      <w:r>
        <w:rPr>
          <w:rFonts w:hint="eastAsia" w:ascii="宋体"/>
          <w:sz w:val="24"/>
        </w:rPr>
        <w:t>控制工期：按</w:t>
      </w:r>
      <w:r>
        <w:rPr>
          <w:rFonts w:hint="eastAsia" w:ascii="宋体"/>
          <w:sz w:val="24"/>
          <w:lang w:val="en-US" w:eastAsia="zh-CN"/>
        </w:rPr>
        <w:t>12</w:t>
      </w:r>
      <w:r>
        <w:rPr>
          <w:rFonts w:hint="eastAsia" w:ascii="宋体"/>
          <w:sz w:val="24"/>
        </w:rPr>
        <w:t>个月，</w:t>
      </w:r>
      <w:r>
        <w:rPr>
          <w:rFonts w:hint="eastAsia"/>
          <w:color w:val="000000"/>
          <w:sz w:val="24"/>
        </w:rPr>
        <w:t>自2019年</w:t>
      </w:r>
      <w:r>
        <w:rPr>
          <w:rFonts w:hint="eastAsia"/>
          <w:color w:val="000000"/>
          <w:sz w:val="24"/>
          <w:lang w:val="en-US" w:eastAsia="zh-CN"/>
        </w:rPr>
        <w:t xml:space="preserve">   </w:t>
      </w:r>
      <w:r>
        <w:rPr>
          <w:rFonts w:hint="eastAsia"/>
          <w:color w:val="000000"/>
          <w:sz w:val="24"/>
        </w:rPr>
        <w:t>月</w:t>
      </w:r>
      <w:r>
        <w:rPr>
          <w:rFonts w:hint="eastAsia"/>
          <w:color w:val="000000"/>
          <w:sz w:val="24"/>
          <w:lang w:val="en-US" w:eastAsia="zh-CN"/>
        </w:rPr>
        <w:t xml:space="preserve">   </w:t>
      </w:r>
      <w:r>
        <w:rPr>
          <w:rFonts w:hint="eastAsia"/>
          <w:color w:val="000000"/>
          <w:sz w:val="24"/>
        </w:rPr>
        <w:t>日起至</w:t>
      </w:r>
      <w:r>
        <w:rPr>
          <w:rFonts w:hint="eastAsia"/>
          <w:color w:val="000000"/>
          <w:sz w:val="24"/>
          <w:lang w:val="en-US" w:eastAsia="zh-CN"/>
        </w:rPr>
        <w:t xml:space="preserve">   </w:t>
      </w:r>
      <w:r>
        <w:rPr>
          <w:rFonts w:hint="eastAsia"/>
          <w:color w:val="000000"/>
          <w:sz w:val="24"/>
        </w:rPr>
        <w:t>年</w:t>
      </w:r>
      <w:r>
        <w:rPr>
          <w:rFonts w:hint="eastAsia"/>
          <w:color w:val="000000"/>
          <w:sz w:val="24"/>
          <w:lang w:val="en-US" w:eastAsia="zh-CN"/>
        </w:rPr>
        <w:t xml:space="preserve">   </w:t>
      </w:r>
      <w:r>
        <w:rPr>
          <w:rFonts w:hint="eastAsia"/>
          <w:color w:val="000000"/>
          <w:sz w:val="24"/>
        </w:rPr>
        <w:t>月</w:t>
      </w:r>
      <w:r>
        <w:rPr>
          <w:rFonts w:hint="eastAsia"/>
          <w:color w:val="000000"/>
          <w:sz w:val="24"/>
          <w:lang w:val="en-US" w:eastAsia="zh-CN"/>
        </w:rPr>
        <w:t xml:space="preserve">   </w:t>
      </w:r>
      <w:r>
        <w:rPr>
          <w:rFonts w:hint="eastAsia"/>
          <w:color w:val="000000"/>
          <w:sz w:val="24"/>
        </w:rPr>
        <w:t>日</w:t>
      </w:r>
      <w:r>
        <w:rPr>
          <w:rFonts w:hint="eastAsia"/>
          <w:color w:val="000000"/>
          <w:sz w:val="24"/>
          <w:lang w:val="en-US" w:eastAsia="zh-CN"/>
        </w:rPr>
        <w:t xml:space="preserve">  </w:t>
      </w:r>
      <w:r>
        <w:rPr>
          <w:rFonts w:hint="eastAsia"/>
          <w:color w:val="000000"/>
          <w:sz w:val="24"/>
        </w:rPr>
        <w:t>止。</w:t>
      </w:r>
      <w:r>
        <w:rPr>
          <w:rFonts w:hint="eastAsia" w:ascii="宋体"/>
          <w:sz w:val="24"/>
        </w:rPr>
        <w:t>(开工时间以甲方下达的开工令时间为准)。若监理或业主另有要求的，乙方必须无条件接受，因此增加的费用由乙方承担。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eastAsia="宋体"/>
          <w:sz w:val="24"/>
          <w:lang w:eastAsia="zh-CN"/>
        </w:rPr>
      </w:pPr>
      <w:r>
        <w:rPr>
          <w:rFonts w:hint="eastAsia" w:ascii="宋体"/>
          <w:sz w:val="24"/>
          <w:lang w:eastAsia="zh-CN"/>
        </w:rPr>
        <w:t>合同报价中已包含因甲方或者不可抗力造成工程延期的费用，若发生因甲方或者不可抗力造成乙方工期延误，乙方不得要求甲方进行费用赔偿。</w:t>
      </w:r>
    </w:p>
    <w:p>
      <w:pPr>
        <w:keepNext w:val="0"/>
        <w:keepLines w:val="0"/>
        <w:pageBreakBefore w:val="0"/>
        <w:widowControl w:val="0"/>
        <w:tabs>
          <w:tab w:val="left" w:pos="993"/>
          <w:tab w:val="left" w:pos="1550"/>
          <w:tab w:val="left" w:pos="1740"/>
        </w:tabs>
        <w:kinsoku/>
        <w:wordWrap/>
        <w:overflowPunct/>
        <w:topLinePunct w:val="0"/>
        <w:autoSpaceDE/>
        <w:autoSpaceDN/>
        <w:bidi w:val="0"/>
        <w:adjustRightInd/>
        <w:snapToGrid/>
        <w:spacing w:line="360" w:lineRule="auto"/>
        <w:ind w:left="0" w:leftChars="0" w:firstLine="482" w:firstLineChars="200"/>
        <w:textAlignment w:val="auto"/>
        <w:rPr>
          <w:rFonts w:ascii="宋体"/>
          <w:sz w:val="24"/>
        </w:rPr>
      </w:pPr>
      <w:r>
        <w:rPr>
          <w:rFonts w:hint="eastAsia" w:ascii="宋体"/>
          <w:b/>
          <w:bCs/>
          <w:sz w:val="24"/>
        </w:rPr>
        <w:t>（六）质量管理：</w:t>
      </w:r>
    </w:p>
    <w:p>
      <w:pPr>
        <w:keepNext w:val="0"/>
        <w:keepLines w:val="0"/>
        <w:pageBreakBefore w:val="0"/>
        <w:widowControl w:val="0"/>
        <w:tabs>
          <w:tab w:val="left" w:pos="993"/>
          <w:tab w:val="left" w:pos="1550"/>
          <w:tab w:val="left" w:pos="1740"/>
        </w:tabs>
        <w:kinsoku/>
        <w:wordWrap/>
        <w:overflowPunct/>
        <w:topLinePunct w:val="0"/>
        <w:autoSpaceDE/>
        <w:autoSpaceDN/>
        <w:bidi w:val="0"/>
        <w:adjustRightInd/>
        <w:snapToGrid/>
        <w:spacing w:line="360" w:lineRule="auto"/>
        <w:ind w:left="0" w:leftChars="0" w:firstLine="480" w:firstLineChars="200"/>
        <w:textAlignment w:val="auto"/>
        <w:rPr>
          <w:rFonts w:ascii="宋体"/>
          <w:sz w:val="24"/>
        </w:rPr>
      </w:pPr>
      <w:r>
        <w:rPr>
          <w:rFonts w:hint="eastAsia" w:ascii="宋体"/>
          <w:sz w:val="24"/>
        </w:rPr>
        <w:t>质量控制总目标为以“一流的材料、一流的设备、一流的工艺、一流的管理”四个一流为准则，创国内一流的水平。工程实体内实外美、质量安全可靠、经久耐用，外观做到表面平整、线条直顺、棱角分明、色泽一致。乙方必须对劳务施工的工序、分项、分部质量负责，不符合质量要求的工程在甲方、监理或业主等质检部门的要求下进行处理，费用由乙方自理。</w:t>
      </w:r>
    </w:p>
    <w:p>
      <w:pPr>
        <w:keepNext w:val="0"/>
        <w:keepLines w:val="0"/>
        <w:pageBreakBefore w:val="0"/>
        <w:widowControl w:val="0"/>
        <w:tabs>
          <w:tab w:val="left" w:pos="993"/>
          <w:tab w:val="left" w:pos="1550"/>
          <w:tab w:val="left" w:pos="1740"/>
        </w:tabs>
        <w:kinsoku/>
        <w:wordWrap/>
        <w:overflowPunct/>
        <w:topLinePunct w:val="0"/>
        <w:autoSpaceDE/>
        <w:autoSpaceDN/>
        <w:bidi w:val="0"/>
        <w:adjustRightInd/>
        <w:snapToGrid/>
        <w:spacing w:line="360" w:lineRule="auto"/>
        <w:ind w:left="0" w:leftChars="0" w:firstLine="482" w:firstLineChars="200"/>
        <w:textAlignment w:val="auto"/>
        <w:rPr>
          <w:rFonts w:hint="eastAsia" w:ascii="宋体"/>
          <w:sz w:val="24"/>
        </w:rPr>
      </w:pPr>
      <w:r>
        <w:rPr>
          <w:rFonts w:hint="eastAsia" w:ascii="宋体"/>
          <w:b/>
          <w:bCs/>
          <w:sz w:val="24"/>
        </w:rPr>
        <w:t>（七）安全生产</w:t>
      </w:r>
      <w:r>
        <w:rPr>
          <w:rFonts w:hint="eastAsia" w:ascii="宋体"/>
          <w:sz w:val="24"/>
        </w:rPr>
        <w:t>：</w:t>
      </w:r>
    </w:p>
    <w:p>
      <w:pPr>
        <w:keepNext w:val="0"/>
        <w:keepLines w:val="0"/>
        <w:pageBreakBefore w:val="0"/>
        <w:widowControl w:val="0"/>
        <w:tabs>
          <w:tab w:val="left" w:pos="993"/>
          <w:tab w:val="left" w:pos="1550"/>
          <w:tab w:val="left" w:pos="1740"/>
        </w:tabs>
        <w:kinsoku/>
        <w:wordWrap/>
        <w:overflowPunct/>
        <w:topLinePunct w:val="0"/>
        <w:autoSpaceDE/>
        <w:autoSpaceDN/>
        <w:bidi w:val="0"/>
        <w:adjustRightInd/>
        <w:snapToGrid/>
        <w:spacing w:line="360" w:lineRule="auto"/>
        <w:ind w:left="0" w:leftChars="0" w:firstLine="480" w:firstLineChars="200"/>
        <w:textAlignment w:val="auto"/>
        <w:rPr>
          <w:rFonts w:ascii="宋体"/>
          <w:sz w:val="24"/>
        </w:rPr>
      </w:pPr>
      <w:r>
        <w:rPr>
          <w:rFonts w:hint="eastAsia" w:ascii="宋体"/>
          <w:sz w:val="24"/>
        </w:rPr>
        <w:t>乙方必须根据“安全生产，预防第一，预防为主，以人为本”、“安全为了生产，生产必须安全”的原则，严格按照业主、监理、甲方的要求进行安全教育，配置安全设施及专职安全人员，密切注意安全动态。教育劳务人员熟悉操作规程，熟悉危险源，确实做到万无一失。严格按照甲方的要求进行安全防护，不得擅自更改。凡因乙方原因造成的安全事故或造成第三者伤亡，其责任和费用均由乙方负责，且在处理过程中，不得体现甲方单位名称；给甲方造成信誉损失的，并对乙方按现行《建设工程安全生产管理条例》的规定进行处罚。</w:t>
      </w:r>
    </w:p>
    <w:p>
      <w:pPr>
        <w:keepNext w:val="0"/>
        <w:keepLines w:val="0"/>
        <w:pageBreakBefore w:val="0"/>
        <w:widowControl w:val="0"/>
        <w:tabs>
          <w:tab w:val="left" w:pos="993"/>
          <w:tab w:val="left" w:pos="1550"/>
          <w:tab w:val="left" w:pos="1740"/>
        </w:tabs>
        <w:kinsoku/>
        <w:wordWrap/>
        <w:overflowPunct/>
        <w:topLinePunct w:val="0"/>
        <w:autoSpaceDE/>
        <w:autoSpaceDN/>
        <w:bidi w:val="0"/>
        <w:adjustRightInd/>
        <w:snapToGrid/>
        <w:spacing w:line="360" w:lineRule="auto"/>
        <w:ind w:left="0" w:leftChars="0" w:firstLine="482" w:firstLineChars="200"/>
        <w:textAlignment w:val="auto"/>
        <w:rPr>
          <w:rFonts w:ascii="宋体"/>
          <w:sz w:val="24"/>
        </w:rPr>
      </w:pPr>
      <w:r>
        <w:rPr>
          <w:rFonts w:hint="eastAsia" w:ascii="宋体"/>
          <w:b/>
          <w:bCs/>
          <w:sz w:val="24"/>
        </w:rPr>
        <w:t>（八）其他规定</w:t>
      </w:r>
    </w:p>
    <w:p>
      <w:pPr>
        <w:keepNext w:val="0"/>
        <w:keepLines w:val="0"/>
        <w:pageBreakBefore w:val="0"/>
        <w:widowControl w:val="0"/>
        <w:numPr>
          <w:ilvl w:val="1"/>
          <w:numId w:val="5"/>
        </w:numPr>
        <w:tabs>
          <w:tab w:val="left" w:pos="993"/>
        </w:tabs>
        <w:kinsoku/>
        <w:wordWrap/>
        <w:overflowPunct/>
        <w:topLinePunct w:val="0"/>
        <w:autoSpaceDE/>
        <w:autoSpaceDN/>
        <w:bidi w:val="0"/>
        <w:adjustRightInd/>
        <w:snapToGrid/>
        <w:spacing w:line="360" w:lineRule="auto"/>
        <w:ind w:left="0" w:leftChars="0" w:firstLine="480" w:firstLineChars="200"/>
        <w:textAlignment w:val="auto"/>
        <w:rPr>
          <w:rFonts w:ascii="宋体"/>
          <w:sz w:val="24"/>
        </w:rPr>
      </w:pPr>
      <w:r>
        <w:rPr>
          <w:rFonts w:hint="eastAsia" w:ascii="宋体"/>
          <w:sz w:val="24"/>
        </w:rPr>
        <w:t>施工临时用电：必须符合《施工现场临时用电安全技术规范》JGJ46－2017的有关规定并符合以下条款：</w:t>
      </w:r>
    </w:p>
    <w:p>
      <w:pPr>
        <w:keepNext w:val="0"/>
        <w:keepLines w:val="0"/>
        <w:pageBreakBefore w:val="0"/>
        <w:widowControl w:val="0"/>
        <w:numPr>
          <w:ilvl w:val="0"/>
          <w:numId w:val="6"/>
        </w:numPr>
        <w:tabs>
          <w:tab w:val="left" w:pos="993"/>
          <w:tab w:val="clear" w:pos="1320"/>
        </w:tabs>
        <w:kinsoku/>
        <w:wordWrap/>
        <w:overflowPunct/>
        <w:topLinePunct w:val="0"/>
        <w:autoSpaceDE/>
        <w:autoSpaceDN/>
        <w:bidi w:val="0"/>
        <w:adjustRightInd/>
        <w:snapToGrid/>
        <w:spacing w:line="360" w:lineRule="auto"/>
        <w:ind w:left="0" w:leftChars="0" w:firstLine="480" w:firstLineChars="200"/>
        <w:textAlignment w:val="auto"/>
        <w:rPr>
          <w:rFonts w:ascii="宋体"/>
          <w:sz w:val="24"/>
        </w:rPr>
      </w:pPr>
      <w:r>
        <w:rPr>
          <w:rFonts w:hint="eastAsia" w:ascii="宋体"/>
          <w:sz w:val="24"/>
        </w:rPr>
        <w:t>乙方向甲方申请用电应包括以下内容：临时用电负荷的计算；临时用电线路的平面布置图；临时用电的安全使用方案；临时用电的安全组织机构。</w:t>
      </w:r>
    </w:p>
    <w:p>
      <w:pPr>
        <w:keepNext w:val="0"/>
        <w:keepLines w:val="0"/>
        <w:pageBreakBefore w:val="0"/>
        <w:widowControl w:val="0"/>
        <w:numPr>
          <w:ilvl w:val="0"/>
          <w:numId w:val="6"/>
        </w:numPr>
        <w:tabs>
          <w:tab w:val="left" w:pos="993"/>
          <w:tab w:val="clear" w:pos="1320"/>
        </w:tabs>
        <w:kinsoku/>
        <w:wordWrap/>
        <w:overflowPunct/>
        <w:topLinePunct w:val="0"/>
        <w:autoSpaceDE/>
        <w:autoSpaceDN/>
        <w:bidi w:val="0"/>
        <w:adjustRightInd/>
        <w:snapToGrid/>
        <w:spacing w:line="360" w:lineRule="auto"/>
        <w:ind w:left="0" w:leftChars="0" w:firstLine="480" w:firstLineChars="200"/>
        <w:textAlignment w:val="auto"/>
        <w:rPr>
          <w:rFonts w:ascii="宋体"/>
          <w:sz w:val="24"/>
        </w:rPr>
      </w:pPr>
      <w:r>
        <w:rPr>
          <w:rFonts w:hint="eastAsia" w:ascii="宋体"/>
          <w:sz w:val="24"/>
        </w:rPr>
        <w:t>引入工地的电力线路的架设应严格按照电力施工的有关规范和要求进行施工。线路原则上应在施工便道或通道的一侧临空架设，架设高度必须符合安全要求。</w:t>
      </w:r>
    </w:p>
    <w:p>
      <w:pPr>
        <w:keepNext w:val="0"/>
        <w:keepLines w:val="0"/>
        <w:pageBreakBefore w:val="0"/>
        <w:widowControl w:val="0"/>
        <w:numPr>
          <w:ilvl w:val="0"/>
          <w:numId w:val="6"/>
        </w:numPr>
        <w:tabs>
          <w:tab w:val="left" w:pos="993"/>
          <w:tab w:val="clear" w:pos="1320"/>
        </w:tabs>
        <w:kinsoku/>
        <w:wordWrap/>
        <w:overflowPunct/>
        <w:topLinePunct w:val="0"/>
        <w:autoSpaceDE/>
        <w:autoSpaceDN/>
        <w:bidi w:val="0"/>
        <w:adjustRightInd/>
        <w:snapToGrid/>
        <w:spacing w:line="360" w:lineRule="auto"/>
        <w:ind w:left="0" w:leftChars="0" w:firstLine="480" w:firstLineChars="200"/>
        <w:textAlignment w:val="auto"/>
        <w:rPr>
          <w:rFonts w:ascii="宋体"/>
          <w:sz w:val="24"/>
        </w:rPr>
      </w:pPr>
      <w:r>
        <w:rPr>
          <w:rFonts w:hint="eastAsia" w:ascii="宋体"/>
          <w:sz w:val="24"/>
        </w:rPr>
        <w:t>乙方应配有专职电工若干名，负责与甲方协调联系，对本标段施工用电进行统一管理，以及对各种用电设备进行日常维护管理。</w:t>
      </w:r>
    </w:p>
    <w:p>
      <w:pPr>
        <w:keepNext w:val="0"/>
        <w:keepLines w:val="0"/>
        <w:pageBreakBefore w:val="0"/>
        <w:widowControl w:val="0"/>
        <w:numPr>
          <w:ilvl w:val="0"/>
          <w:numId w:val="6"/>
        </w:numPr>
        <w:tabs>
          <w:tab w:val="left" w:pos="993"/>
          <w:tab w:val="clear" w:pos="1320"/>
        </w:tabs>
        <w:kinsoku/>
        <w:wordWrap/>
        <w:overflowPunct/>
        <w:topLinePunct w:val="0"/>
        <w:autoSpaceDE/>
        <w:autoSpaceDN/>
        <w:bidi w:val="0"/>
        <w:adjustRightInd/>
        <w:snapToGrid/>
        <w:spacing w:line="360" w:lineRule="auto"/>
        <w:ind w:left="0" w:leftChars="0" w:firstLine="480" w:firstLineChars="200"/>
        <w:textAlignment w:val="auto"/>
        <w:rPr>
          <w:rFonts w:ascii="宋体"/>
          <w:sz w:val="24"/>
        </w:rPr>
      </w:pPr>
      <w:r>
        <w:rPr>
          <w:rFonts w:hint="eastAsia" w:ascii="宋体"/>
          <w:sz w:val="24"/>
        </w:rPr>
        <w:t>各工点的配电箱一律采用铁制，分大小两种，大型配电箱尺寸不小于1.0m×0.8m×0.2m，内设各个分线闸刀、漏电保护器、电表等相关设备，坚持一机一闸用电。小型配电箱采用当地电力部门统一农用配电箱。配电箱等应设置明显的安全警示标志。</w:t>
      </w:r>
    </w:p>
    <w:p>
      <w:pPr>
        <w:keepNext w:val="0"/>
        <w:keepLines w:val="0"/>
        <w:pageBreakBefore w:val="0"/>
        <w:widowControl w:val="0"/>
        <w:numPr>
          <w:ilvl w:val="0"/>
          <w:numId w:val="6"/>
        </w:numPr>
        <w:tabs>
          <w:tab w:val="left" w:pos="993"/>
          <w:tab w:val="clear" w:pos="1320"/>
        </w:tabs>
        <w:kinsoku/>
        <w:wordWrap/>
        <w:overflowPunct/>
        <w:topLinePunct w:val="0"/>
        <w:autoSpaceDE/>
        <w:autoSpaceDN/>
        <w:bidi w:val="0"/>
        <w:adjustRightInd/>
        <w:snapToGrid/>
        <w:spacing w:line="360" w:lineRule="auto"/>
        <w:ind w:left="0" w:leftChars="0" w:firstLine="480" w:firstLineChars="200"/>
        <w:textAlignment w:val="auto"/>
        <w:rPr>
          <w:rFonts w:ascii="宋体"/>
          <w:sz w:val="24"/>
        </w:rPr>
      </w:pPr>
      <w:r>
        <w:rPr>
          <w:rFonts w:hint="eastAsia" w:ascii="宋体"/>
          <w:sz w:val="24"/>
        </w:rPr>
        <w:t>所有动力设备应有可靠的接地保护和防雷措施。</w:t>
      </w:r>
    </w:p>
    <w:p>
      <w:pPr>
        <w:keepNext w:val="0"/>
        <w:keepLines w:val="0"/>
        <w:pageBreakBefore w:val="0"/>
        <w:widowControl w:val="0"/>
        <w:numPr>
          <w:ilvl w:val="1"/>
          <w:numId w:val="5"/>
        </w:numPr>
        <w:tabs>
          <w:tab w:val="left" w:pos="993"/>
        </w:tabs>
        <w:kinsoku/>
        <w:wordWrap/>
        <w:overflowPunct/>
        <w:topLinePunct w:val="0"/>
        <w:autoSpaceDE/>
        <w:autoSpaceDN/>
        <w:bidi w:val="0"/>
        <w:adjustRightInd/>
        <w:snapToGrid/>
        <w:spacing w:line="360" w:lineRule="auto"/>
        <w:ind w:left="0" w:leftChars="0" w:firstLine="480" w:firstLineChars="200"/>
        <w:textAlignment w:val="auto"/>
        <w:rPr>
          <w:rFonts w:ascii="宋体"/>
          <w:sz w:val="24"/>
        </w:rPr>
      </w:pPr>
      <w:r>
        <w:rPr>
          <w:rFonts w:hint="eastAsia" w:ascii="宋体"/>
          <w:sz w:val="24"/>
        </w:rPr>
        <w:t>环境保护与文明施工：乙方的特种作业人员必须持证上岗，并向甲方提供上岗证书复印件(甲方查看原件)，乙方必须为作业人员办理各种上岗证书，费用由乙方承担。乙方必须按照国家、地方政府的有关法律、法规和业主、监理单位及其甲方的要求进行环境保护、水土保持工作，不得随意破坏地貌、植被，施工中做到不扬尘、以及将有害物质、弃碴进行妥善处理，降低施工噪声，不得污染自然环境。否则，一切后果由乙方负责。</w:t>
      </w:r>
    </w:p>
    <w:p>
      <w:pPr>
        <w:keepNext w:val="0"/>
        <w:keepLines w:val="0"/>
        <w:pageBreakBefore w:val="0"/>
        <w:widowControl w:val="0"/>
        <w:numPr>
          <w:ilvl w:val="1"/>
          <w:numId w:val="5"/>
        </w:numPr>
        <w:tabs>
          <w:tab w:val="left" w:pos="993"/>
        </w:tabs>
        <w:kinsoku/>
        <w:wordWrap/>
        <w:overflowPunct/>
        <w:topLinePunct w:val="0"/>
        <w:autoSpaceDE/>
        <w:autoSpaceDN/>
        <w:bidi w:val="0"/>
        <w:adjustRightInd/>
        <w:snapToGrid/>
        <w:spacing w:line="360" w:lineRule="auto"/>
        <w:ind w:left="0" w:leftChars="0" w:firstLine="480" w:firstLineChars="200"/>
        <w:textAlignment w:val="auto"/>
        <w:rPr>
          <w:rFonts w:ascii="宋体"/>
          <w:sz w:val="24"/>
        </w:rPr>
      </w:pPr>
      <w:r>
        <w:rPr>
          <w:rFonts w:hint="eastAsia" w:ascii="宋体"/>
          <w:sz w:val="24"/>
          <w:lang w:eastAsia="zh-CN"/>
        </w:rPr>
        <w:t>绿化工程</w:t>
      </w:r>
      <w:r>
        <w:rPr>
          <w:rFonts w:hint="eastAsia" w:ascii="宋体"/>
          <w:sz w:val="24"/>
        </w:rPr>
        <w:t>施工：施工必须符合《福建省普通公路标准化施工指南》。</w:t>
      </w:r>
    </w:p>
    <w:p>
      <w:pPr>
        <w:keepNext w:val="0"/>
        <w:keepLines w:val="0"/>
        <w:pageBreakBefore w:val="0"/>
        <w:widowControl w:val="0"/>
        <w:numPr>
          <w:ilvl w:val="1"/>
          <w:numId w:val="5"/>
        </w:numPr>
        <w:tabs>
          <w:tab w:val="left" w:pos="993"/>
        </w:tabs>
        <w:kinsoku/>
        <w:wordWrap/>
        <w:overflowPunct/>
        <w:topLinePunct w:val="0"/>
        <w:autoSpaceDE/>
        <w:autoSpaceDN/>
        <w:bidi w:val="0"/>
        <w:adjustRightInd/>
        <w:snapToGrid/>
        <w:spacing w:line="360" w:lineRule="auto"/>
        <w:ind w:left="0" w:leftChars="0" w:firstLine="480" w:firstLineChars="200"/>
        <w:textAlignment w:val="auto"/>
        <w:rPr>
          <w:rFonts w:ascii="宋体"/>
          <w:sz w:val="24"/>
        </w:rPr>
      </w:pPr>
      <w:r>
        <w:rPr>
          <w:rFonts w:hint="eastAsia" w:ascii="宋体"/>
          <w:sz w:val="24"/>
        </w:rPr>
        <w:t>临时设施：临时设施的建设及使用必须符合《福建省普通公路标准化施工指南》有关要求及以下条款：</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ascii="宋体"/>
          <w:sz w:val="24"/>
        </w:rPr>
      </w:pPr>
      <w:r>
        <w:rPr>
          <w:rFonts w:hint="eastAsia" w:ascii="宋体"/>
          <w:sz w:val="24"/>
        </w:rPr>
        <w:t>（1）</w:t>
      </w:r>
      <w:r>
        <w:rPr>
          <w:color w:val="000000"/>
          <w:sz w:val="24"/>
        </w:rPr>
        <w:t>临时生产生活用房应认真选址（避开滑坡、冲沟、泛洪等险地）、合理规划、布局有序，生产和生活用房应分开搭设。所选地址、规模、结构及材料等必须经</w:t>
      </w:r>
      <w:r>
        <w:rPr>
          <w:rFonts w:hint="eastAsia"/>
          <w:color w:val="000000"/>
          <w:sz w:val="24"/>
        </w:rPr>
        <w:t>甲方</w:t>
      </w:r>
      <w:r>
        <w:rPr>
          <w:color w:val="000000"/>
          <w:sz w:val="24"/>
        </w:rPr>
        <w:t>同意，应服从</w:t>
      </w:r>
      <w:r>
        <w:rPr>
          <w:rFonts w:hint="eastAsia"/>
          <w:color w:val="000000"/>
          <w:sz w:val="24"/>
        </w:rPr>
        <w:t>甲方</w:t>
      </w:r>
      <w:r>
        <w:rPr>
          <w:color w:val="000000"/>
          <w:sz w:val="24"/>
        </w:rPr>
        <w:t>的统一安排</w:t>
      </w:r>
      <w:r>
        <w:rPr>
          <w:rFonts w:hint="eastAsia"/>
          <w:color w:val="000000"/>
          <w:sz w:val="24"/>
        </w:rPr>
        <w:t>，</w:t>
      </w:r>
      <w:r>
        <w:rPr>
          <w:color w:val="000000"/>
          <w:sz w:val="24"/>
        </w:rPr>
        <w:t>不得随意</w:t>
      </w:r>
      <w:r>
        <w:rPr>
          <w:rFonts w:hint="eastAsia"/>
          <w:color w:val="000000"/>
          <w:sz w:val="24"/>
        </w:rPr>
        <w:t>搭</w:t>
      </w:r>
      <w:r>
        <w:rPr>
          <w:color w:val="000000"/>
          <w:sz w:val="24"/>
        </w:rPr>
        <w:t>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ascii="宋体"/>
          <w:sz w:val="24"/>
        </w:rPr>
      </w:pPr>
      <w:r>
        <w:rPr>
          <w:rFonts w:hint="eastAsia" w:ascii="宋体"/>
          <w:sz w:val="24"/>
        </w:rPr>
        <w:t>（2）房屋搭设稳固，室内外地面采用5cm厚的C15砼硬化。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ascii="宋体"/>
          <w:sz w:val="24"/>
        </w:rPr>
      </w:pPr>
      <w:r>
        <w:rPr>
          <w:rFonts w:hint="eastAsia" w:ascii="宋体"/>
          <w:sz w:val="24"/>
        </w:rPr>
        <w:t>（3）工房不提倡搭通铺，一室不得超过8人，人均居住面积不少于2m</w:t>
      </w:r>
      <w:r>
        <w:rPr>
          <w:rFonts w:hint="eastAsia" w:ascii="宋体"/>
          <w:sz w:val="24"/>
          <w:vertAlign w:val="superscript"/>
        </w:rPr>
        <w:t>2</w:t>
      </w:r>
      <w:r>
        <w:rPr>
          <w:rFonts w:hint="eastAsia" w:ascii="宋体"/>
          <w:sz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ascii="宋体"/>
          <w:sz w:val="24"/>
        </w:rPr>
      </w:pPr>
      <w:r>
        <w:rPr>
          <w:rFonts w:hint="eastAsia" w:ascii="宋体"/>
          <w:sz w:val="24"/>
        </w:rPr>
        <w:t>（4）做好安全用电和防火工作，按有关规定配备消防器材。台风季节，应做好防台风各项准备工作。</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ascii="宋体"/>
          <w:sz w:val="24"/>
        </w:rPr>
      </w:pPr>
      <w:r>
        <w:rPr>
          <w:rFonts w:hint="eastAsia" w:ascii="宋体"/>
          <w:sz w:val="24"/>
        </w:rPr>
        <w:t>（5）做好生活区的环境卫生工作，对生活垃圾和污水进行集中合理处置，保证周围环境整洁卫生。</w:t>
      </w:r>
    </w:p>
    <w:p>
      <w:pPr>
        <w:keepNext w:val="0"/>
        <w:keepLines w:val="0"/>
        <w:pageBreakBefore w:val="0"/>
        <w:widowControl w:val="0"/>
        <w:numPr>
          <w:ilvl w:val="0"/>
          <w:numId w:val="0"/>
        </w:numPr>
        <w:tabs>
          <w:tab w:val="left" w:pos="1134"/>
        </w:tabs>
        <w:kinsoku/>
        <w:wordWrap/>
        <w:overflowPunct/>
        <w:topLinePunct w:val="0"/>
        <w:autoSpaceDE/>
        <w:autoSpaceDN/>
        <w:bidi w:val="0"/>
        <w:adjustRightInd/>
        <w:snapToGrid/>
        <w:spacing w:line="360" w:lineRule="auto"/>
        <w:ind w:left="0" w:leftChars="0" w:firstLine="480" w:firstLineChars="200"/>
        <w:textAlignment w:val="auto"/>
        <w:rPr>
          <w:rFonts w:ascii="宋体"/>
          <w:sz w:val="24"/>
        </w:rPr>
      </w:pPr>
      <w:r>
        <w:rPr>
          <w:rFonts w:hint="eastAsia" w:ascii="宋体"/>
          <w:sz w:val="24"/>
          <w:lang w:val="en-US" w:eastAsia="zh-CN"/>
        </w:rPr>
        <w:t>5、</w:t>
      </w:r>
      <w:r>
        <w:rPr>
          <w:rFonts w:hint="eastAsia" w:ascii="宋体"/>
          <w:sz w:val="24"/>
        </w:rPr>
        <w:t>甲方负责编制总体施工组织设计方案、专项施工方案，确定分项工程施工工艺，对乙方进行技术交底及安全技术交底，制定安全措施，并对乙方落实情况进行监督。</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sz w:val="24"/>
        </w:rPr>
      </w:pPr>
      <w:r>
        <w:rPr>
          <w:rFonts w:hint="eastAsia" w:ascii="宋体"/>
          <w:sz w:val="24"/>
        </w:rPr>
        <w:t>6、甲方根据乙方报送的用料计划，负责提供主材及砼供应，并对所供应的材料、成品、半成品的质量负责。由于乙方施工不当造成质量达不到标准要求而返工的经济损失由乙方承担。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宋体" w:eastAsia="宋体"/>
          <w:sz w:val="24"/>
          <w:lang w:val="en-US" w:eastAsia="zh-CN"/>
        </w:rPr>
      </w:pPr>
      <w:r>
        <w:rPr>
          <w:rFonts w:hint="eastAsia" w:ascii="宋体"/>
          <w:sz w:val="24"/>
          <w:lang w:val="en-US" w:eastAsia="zh-CN"/>
        </w:rPr>
        <w:t>7</w:t>
      </w:r>
      <w:r>
        <w:rPr>
          <w:rFonts w:hint="eastAsia" w:ascii="宋体"/>
          <w:sz w:val="24"/>
        </w:rPr>
        <w:t>、为防止不平衡报价产生的低价项目实施难的现象，招标人在签订施工合同前，如招标</w:t>
      </w:r>
      <w:r>
        <w:rPr>
          <w:rFonts w:hint="eastAsia" w:ascii="宋体"/>
          <w:sz w:val="24"/>
          <w:lang w:eastAsia="zh-CN"/>
        </w:rPr>
        <w:t>人</w:t>
      </w:r>
      <w:r>
        <w:rPr>
          <w:rFonts w:hint="eastAsia" w:ascii="宋体"/>
          <w:sz w:val="24"/>
        </w:rPr>
        <w:t>认为投标人采用不平衡报价的，招标人对中标人报价清单的各子目中标单价进行调整，依据招标人控制价减拟中标人的总报价差与招标人控制价的比值为降幅系数，拟中标人调整的清单子目单价按降幅系数乘以招标人的控制价清单子目单价进行计算，但中标总价保持不变。</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3" w:firstLineChars="200"/>
        <w:textAlignment w:val="auto"/>
        <w:outlineLvl w:val="2"/>
        <w:rPr>
          <w:rFonts w:ascii="黑体" w:eastAsia="黑体"/>
          <w:sz w:val="24"/>
        </w:rPr>
      </w:pPr>
      <w:r>
        <w:rPr>
          <w:rFonts w:hint="eastAsia" w:ascii="仿宋_GB2312" w:hAnsi="宋体" w:eastAsia="仿宋_GB2312"/>
          <w:b/>
          <w:sz w:val="32"/>
          <w:szCs w:val="32"/>
        </w:rPr>
        <w:t>第七条</w:t>
      </w:r>
      <w:r>
        <w:rPr>
          <w:rFonts w:hint="eastAsia" w:ascii="仿宋_GB2312" w:hAnsi="宋体" w:eastAsia="仿宋_GB2312"/>
          <w:b/>
          <w:sz w:val="32"/>
          <w:szCs w:val="32"/>
          <w:lang w:val="en-US" w:eastAsia="zh-CN"/>
        </w:rPr>
        <w:t>.</w:t>
      </w:r>
      <w:r>
        <w:rPr>
          <w:rFonts w:hint="eastAsia" w:ascii="仿宋_GB2312" w:hAnsi="宋体" w:eastAsia="仿宋_GB2312"/>
          <w:b/>
          <w:sz w:val="32"/>
          <w:szCs w:val="32"/>
        </w:rPr>
        <w:t>违约责任</w:t>
      </w:r>
    </w:p>
    <w:p>
      <w:pPr>
        <w:keepNext w:val="0"/>
        <w:keepLines w:val="0"/>
        <w:pageBreakBefore w:val="0"/>
        <w:widowControl w:val="0"/>
        <w:tabs>
          <w:tab w:val="left" w:pos="7200"/>
        </w:tabs>
        <w:kinsoku/>
        <w:wordWrap/>
        <w:overflowPunct/>
        <w:topLinePunct w:val="0"/>
        <w:autoSpaceDE/>
        <w:autoSpaceDN/>
        <w:bidi w:val="0"/>
        <w:adjustRightInd/>
        <w:snapToGrid/>
        <w:spacing w:line="360" w:lineRule="auto"/>
        <w:ind w:left="0" w:leftChars="0" w:firstLine="480" w:firstLineChars="200"/>
        <w:textAlignment w:val="auto"/>
        <w:rPr>
          <w:rFonts w:ascii="宋体"/>
          <w:sz w:val="24"/>
        </w:rPr>
      </w:pPr>
      <w:r>
        <w:rPr>
          <w:rFonts w:hint="eastAsia" w:ascii="宋体"/>
          <w:sz w:val="24"/>
        </w:rPr>
        <w:t>除本合同第五条规定的甲方的责任以外，乙方发生下列行为或事件的，均构成违约行为，甲方将视情节</w:t>
      </w:r>
      <w:r>
        <w:rPr>
          <w:rFonts w:hint="eastAsia" w:ascii="宋体"/>
          <w:sz w:val="24"/>
          <w:lang w:eastAsia="zh-CN"/>
        </w:rPr>
        <w:t>要求乙方支付</w:t>
      </w:r>
      <w:r>
        <w:rPr>
          <w:rFonts w:hint="eastAsia" w:ascii="宋体"/>
          <w:sz w:val="24"/>
        </w:rPr>
        <w:t>违约金，直至勒令乙方退场并没收履约保证金：</w:t>
      </w:r>
    </w:p>
    <w:p>
      <w:pPr>
        <w:keepNext w:val="0"/>
        <w:keepLines w:val="0"/>
        <w:pageBreakBefore w:val="0"/>
        <w:widowControl w:val="0"/>
        <w:tabs>
          <w:tab w:val="left" w:pos="7200"/>
        </w:tabs>
        <w:kinsoku/>
        <w:wordWrap/>
        <w:overflowPunct/>
        <w:topLinePunct w:val="0"/>
        <w:autoSpaceDE/>
        <w:autoSpaceDN/>
        <w:bidi w:val="0"/>
        <w:adjustRightInd/>
        <w:snapToGrid/>
        <w:spacing w:line="360" w:lineRule="auto"/>
        <w:ind w:left="0" w:leftChars="0" w:firstLine="480" w:firstLineChars="200"/>
        <w:textAlignment w:val="auto"/>
        <w:rPr>
          <w:rFonts w:ascii="宋体"/>
          <w:sz w:val="24"/>
        </w:rPr>
      </w:pPr>
      <w:r>
        <w:rPr>
          <w:rFonts w:hint="eastAsia" w:ascii="宋体"/>
          <w:sz w:val="24"/>
        </w:rPr>
        <w:t>1、</w:t>
      </w:r>
      <w:r>
        <w:rPr>
          <w:rFonts w:hint="eastAsia" w:ascii="宋体"/>
          <w:b/>
          <w:bCs/>
          <w:sz w:val="24"/>
          <w:lang w:eastAsia="zh-CN"/>
        </w:rPr>
        <w:t>如</w:t>
      </w:r>
      <w:r>
        <w:rPr>
          <w:rFonts w:hint="eastAsia" w:ascii="宋体"/>
          <w:b/>
          <w:bCs/>
          <w:sz w:val="24"/>
        </w:rPr>
        <w:t>合同采用含税综合单价的</w:t>
      </w:r>
      <w:r>
        <w:rPr>
          <w:rFonts w:hint="eastAsia" w:ascii="宋体"/>
          <w:sz w:val="24"/>
        </w:rPr>
        <w:t>，</w:t>
      </w:r>
      <w:r>
        <w:rPr>
          <w:rFonts w:hint="eastAsia" w:ascii="宋体" w:hAnsi="宋体" w:cs="仿宋"/>
          <w:bCs/>
          <w:spacing w:val="10"/>
          <w:sz w:val="24"/>
        </w:rPr>
        <w:t>乙方未能按要求提供增值税专用发票的，应承担合同金额（含增值税）</w:t>
      </w:r>
      <w:r>
        <w:rPr>
          <w:rFonts w:hint="eastAsia" w:ascii="宋体" w:hAnsi="宋体" w:cs="仿宋"/>
          <w:bCs/>
          <w:spacing w:val="10"/>
          <w:sz w:val="24"/>
          <w:u w:val="single"/>
        </w:rPr>
        <w:t>10%</w:t>
      </w:r>
      <w:r>
        <w:rPr>
          <w:rFonts w:hint="eastAsia" w:ascii="宋体" w:hAnsi="宋体" w:cs="仿宋"/>
          <w:bCs/>
          <w:spacing w:val="10"/>
          <w:sz w:val="24"/>
        </w:rPr>
        <w:t>的违约金。</w:t>
      </w:r>
    </w:p>
    <w:p>
      <w:pPr>
        <w:keepNext w:val="0"/>
        <w:keepLines w:val="0"/>
        <w:pageBreakBefore w:val="0"/>
        <w:widowControl w:val="0"/>
        <w:tabs>
          <w:tab w:val="left" w:pos="7200"/>
        </w:tabs>
        <w:kinsoku/>
        <w:wordWrap/>
        <w:overflowPunct/>
        <w:topLinePunct w:val="0"/>
        <w:autoSpaceDE/>
        <w:autoSpaceDN/>
        <w:bidi w:val="0"/>
        <w:adjustRightInd/>
        <w:snapToGrid/>
        <w:spacing w:line="360" w:lineRule="auto"/>
        <w:ind w:left="0" w:leftChars="0" w:firstLine="480" w:firstLineChars="200"/>
        <w:textAlignment w:val="auto"/>
        <w:rPr>
          <w:rFonts w:ascii="宋体"/>
          <w:sz w:val="24"/>
        </w:rPr>
      </w:pPr>
      <w:r>
        <w:rPr>
          <w:rFonts w:hint="eastAsia" w:ascii="宋体"/>
          <w:sz w:val="24"/>
        </w:rPr>
        <w:t>2、乙方无视项目经理部的警告（包括口头或书面），未履行其合同规定的义务；</w:t>
      </w:r>
    </w:p>
    <w:p>
      <w:pPr>
        <w:keepNext w:val="0"/>
        <w:keepLines w:val="0"/>
        <w:pageBreakBefore w:val="0"/>
        <w:widowControl w:val="0"/>
        <w:tabs>
          <w:tab w:val="left" w:pos="7200"/>
        </w:tabs>
        <w:kinsoku/>
        <w:wordWrap/>
        <w:overflowPunct/>
        <w:topLinePunct w:val="0"/>
        <w:autoSpaceDE/>
        <w:autoSpaceDN/>
        <w:bidi w:val="0"/>
        <w:adjustRightInd/>
        <w:snapToGrid/>
        <w:spacing w:line="360" w:lineRule="auto"/>
        <w:ind w:left="0" w:leftChars="0" w:firstLine="480" w:firstLineChars="200"/>
        <w:textAlignment w:val="auto"/>
        <w:rPr>
          <w:rFonts w:ascii="宋体"/>
          <w:sz w:val="24"/>
        </w:rPr>
      </w:pPr>
      <w:r>
        <w:rPr>
          <w:rFonts w:hint="eastAsia" w:ascii="宋体"/>
          <w:sz w:val="24"/>
        </w:rPr>
        <w:t>3、甲方将定期（包括不定期）组织对乙方的履约检查，乙方的主要管理、技术人员每个月必须保证在工地25天以上，离开工地必须向甲方项目经理部或工区请假，否则将处以每人1000元/天的罚款；</w:t>
      </w:r>
      <w:r>
        <w:rPr>
          <w:rFonts w:hint="eastAsia" w:ascii="黑体" w:eastAsia="黑体"/>
          <w:sz w:val="24"/>
        </w:rPr>
        <w:t>关鍵设备（即附表3中列出的主要机械设备）</w:t>
      </w:r>
      <w:r>
        <w:rPr>
          <w:rFonts w:hint="eastAsia" w:ascii="宋体"/>
          <w:sz w:val="24"/>
        </w:rPr>
        <w:t>未能按甲方指令时间或乙方承诺时间内进场的，将处以每台5000元/天的罚款。乙方严重违反关于按投标文件配备称职的关键管理与技术人员的规定，及配备满足施工需求的关键施工设备的承诺的，甲方将视情节课以违约金，直至勒令乙方退场并没收履约保证金；</w:t>
      </w:r>
    </w:p>
    <w:p>
      <w:pPr>
        <w:keepNext w:val="0"/>
        <w:keepLines w:val="0"/>
        <w:pageBreakBefore w:val="0"/>
        <w:widowControl w:val="0"/>
        <w:tabs>
          <w:tab w:val="left" w:pos="7200"/>
        </w:tabs>
        <w:kinsoku/>
        <w:wordWrap/>
        <w:overflowPunct/>
        <w:topLinePunct w:val="0"/>
        <w:autoSpaceDE/>
        <w:autoSpaceDN/>
        <w:bidi w:val="0"/>
        <w:adjustRightInd/>
        <w:snapToGrid/>
        <w:spacing w:line="360" w:lineRule="auto"/>
        <w:ind w:left="0" w:leftChars="0" w:firstLine="480" w:firstLineChars="200"/>
        <w:textAlignment w:val="auto"/>
        <w:rPr>
          <w:rFonts w:ascii="宋体"/>
          <w:sz w:val="24"/>
        </w:rPr>
      </w:pPr>
      <w:r>
        <w:rPr>
          <w:rFonts w:hint="eastAsia" w:ascii="宋体"/>
          <w:sz w:val="24"/>
        </w:rPr>
        <w:t>4、乙方不得以任何理由索赔(包括民事原因引起的窝工、误工)费用、停工、罢工，如出现此现象，责任由乙方承担，由此给甲方造成经济或信誉损失的，甲方将直接从乙方的履约金中扣除；情节较严重的，甲方将没收乙方的履约保证金，终止乙方的承包，但不因此解除合同规定的承包人的任何义务和责任，甲方可自行或雇用其他承包人完成该工程。</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ascii="宋体"/>
          <w:sz w:val="24"/>
        </w:rPr>
      </w:pPr>
      <w:r>
        <w:rPr>
          <w:rFonts w:hint="eastAsia" w:ascii="黑体" w:eastAsia="黑体"/>
          <w:sz w:val="24"/>
        </w:rPr>
        <w:t>5、乙方进度缓慢</w:t>
      </w:r>
      <w:r>
        <w:rPr>
          <w:rFonts w:hint="eastAsia" w:ascii="宋体"/>
          <w:sz w:val="24"/>
        </w:rPr>
        <w:t>：乙方必须按照甲方的施工组织设计以及业主、监理及甲方的进度和工期要求合理组织劳务施工。除非发生不可抗力因素，乙方的实际进度滞后项目经理部下达的工程进度计划</w:t>
      </w:r>
      <w:r>
        <w:rPr>
          <w:rFonts w:hint="eastAsia" w:ascii="宋体"/>
          <w:sz w:val="24"/>
          <w:u w:val="single"/>
        </w:rPr>
        <w:t>15%</w:t>
      </w:r>
      <w:r>
        <w:rPr>
          <w:rFonts w:hint="eastAsia" w:ascii="宋体"/>
          <w:sz w:val="24"/>
        </w:rPr>
        <w:t>以上，且在接在项目经理部的通知后</w:t>
      </w:r>
      <w:r>
        <w:rPr>
          <w:rFonts w:hint="eastAsia" w:ascii="宋体"/>
          <w:sz w:val="24"/>
          <w:u w:val="single"/>
        </w:rPr>
        <w:t>15天</w:t>
      </w:r>
      <w:r>
        <w:rPr>
          <w:rFonts w:hint="eastAsia" w:ascii="宋体"/>
          <w:sz w:val="24"/>
        </w:rPr>
        <w:t>内仍未能采取有效措施加快本工程或其关键部位的施工按照计划的节点工期完成任务的，项目部有权根据业主、监理和甲方的有关规定将乙方清除出场，并无偿留用乙方投入机械的设备，或由甲方将本合同工程中的一部分工作交由其他承包人或特殊分包人。</w:t>
      </w:r>
      <w:r>
        <w:rPr>
          <w:rFonts w:hint="eastAsia" w:ascii="黑体" w:eastAsia="黑体"/>
          <w:sz w:val="24"/>
        </w:rPr>
        <w:t>乙方被清退出场时未完成的工程量或交给其他承包人施工的工程量，甲方将按乙方中标单价的2.0倍从乙方的任何款项中予以扣减</w:t>
      </w:r>
      <w:r>
        <w:rPr>
          <w:rFonts w:hint="eastAsia" w:ascii="宋体"/>
          <w:sz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ascii="宋体"/>
          <w:sz w:val="24"/>
        </w:rPr>
      </w:pPr>
      <w:r>
        <w:rPr>
          <w:rFonts w:hint="eastAsia" w:ascii="黑体" w:eastAsia="黑体"/>
          <w:sz w:val="24"/>
        </w:rPr>
        <w:t>6、乙方延期交工：</w:t>
      </w:r>
      <w:r>
        <w:rPr>
          <w:rFonts w:hint="eastAsia" w:ascii="黑体" w:eastAsia="黑体"/>
          <w:sz w:val="24"/>
          <w:lang w:val="en-US" w:eastAsia="zh-CN"/>
        </w:rPr>
        <w:t>由于乙方的原因</w:t>
      </w:r>
      <w:r>
        <w:rPr>
          <w:rFonts w:hint="eastAsia" w:ascii="黑体" w:eastAsia="黑体"/>
          <w:sz w:val="24"/>
        </w:rPr>
        <w:t>未能按照合同约定的工期完成合同工程，必须向甲方支付中标合同价的2‰/天，作为拖期损失偿金，</w:t>
      </w:r>
      <w:r>
        <w:rPr>
          <w:rFonts w:hint="eastAsia" w:ascii="宋体"/>
          <w:sz w:val="24"/>
        </w:rPr>
        <w:t>时间自预定的完工日期起到合同工程交工证书中写明的交工日期或已批准的延长工期止，按天计算。甲方可以从应付或到期应付给承包人的任何款项中扣除此偿金，但不排除其他扣款方法。扣除拖期损失偿金，并不解除合同规定的承包人对完成本工程的义务和责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3" w:firstLineChars="200"/>
        <w:textAlignment w:val="auto"/>
        <w:rPr>
          <w:b/>
          <w:color w:val="000000"/>
          <w:sz w:val="24"/>
        </w:rPr>
      </w:pPr>
      <w:r>
        <w:rPr>
          <w:rFonts w:hint="eastAsia" w:ascii="仿宋_GB2312" w:hAnsi="宋体" w:eastAsia="仿宋_GB2312"/>
          <w:b/>
          <w:sz w:val="32"/>
          <w:szCs w:val="32"/>
        </w:rPr>
        <w:t>第八条</w:t>
      </w:r>
      <w:r>
        <w:rPr>
          <w:rFonts w:hint="eastAsia" w:ascii="仿宋_GB2312" w:hAnsi="宋体" w:eastAsia="仿宋_GB2312"/>
          <w:b/>
          <w:sz w:val="32"/>
          <w:szCs w:val="32"/>
          <w:lang w:val="en-US" w:eastAsia="zh-CN"/>
        </w:rPr>
        <w:t>.</w:t>
      </w:r>
      <w:r>
        <w:rPr>
          <w:rFonts w:hint="eastAsia" w:ascii="仿宋_GB2312" w:hAnsi="宋体" w:eastAsia="仿宋_GB2312"/>
          <w:b/>
          <w:sz w:val="32"/>
          <w:szCs w:val="32"/>
        </w:rPr>
        <w:t>合同纠纷</w:t>
      </w:r>
    </w:p>
    <w:p>
      <w:pPr>
        <w:keepNext w:val="0"/>
        <w:keepLines w:val="0"/>
        <w:pageBreakBefore w:val="0"/>
        <w:widowControl w:val="0"/>
        <w:tabs>
          <w:tab w:val="left" w:pos="5280"/>
        </w:tabs>
        <w:kinsoku/>
        <w:wordWrap/>
        <w:overflowPunct/>
        <w:topLinePunct w:val="0"/>
        <w:autoSpaceDE/>
        <w:autoSpaceDN/>
        <w:bidi w:val="0"/>
        <w:adjustRightInd/>
        <w:snapToGrid/>
        <w:spacing w:line="360" w:lineRule="auto"/>
        <w:ind w:left="0" w:leftChars="0" w:firstLine="480" w:firstLineChars="200"/>
        <w:textAlignment w:val="auto"/>
        <w:rPr>
          <w:rFonts w:ascii="宋体" w:hAnsi="宋体" w:cs="宋体"/>
          <w:sz w:val="24"/>
        </w:rPr>
      </w:pPr>
      <w:r>
        <w:rPr>
          <w:rFonts w:hint="eastAsia" w:ascii="宋体" w:hAnsi="宋体" w:cs="宋体"/>
          <w:sz w:val="24"/>
        </w:rPr>
        <w:t>1、甲乙</w:t>
      </w:r>
      <w:r>
        <w:rPr>
          <w:rFonts w:ascii="宋体" w:hAnsi="宋体" w:cs="宋体"/>
          <w:sz w:val="24"/>
        </w:rPr>
        <w:t>双方须凭签收的单据进行结算，如有异议需在结算后7日内提出。未经双方结算的款项，任何一方不得向法院起诉或申请财产保全。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color w:val="000000"/>
          <w:sz w:val="24"/>
        </w:rPr>
      </w:pPr>
      <w:r>
        <w:rPr>
          <w:rFonts w:hint="eastAsia"/>
          <w:color w:val="000000"/>
          <w:sz w:val="24"/>
        </w:rPr>
        <w:t>2、乙方已明确合同标的数量与工程款的变更均应取得甲方公司同意并加盖甲方公司印章，项目部或职员同意的均无效且不构成职务行为与表见代理。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color w:val="000000"/>
          <w:sz w:val="24"/>
        </w:rPr>
      </w:pPr>
      <w:r>
        <w:rPr>
          <w:rFonts w:hint="eastAsia"/>
          <w:color w:val="000000"/>
          <w:sz w:val="24"/>
        </w:rPr>
        <w:t>3、因履行本合同发生的一切争议，由当事人双方协商或调解解决，协商或调解不成，可依法向泉州市丰泽区人民法院起诉。</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3" w:firstLineChars="200"/>
        <w:textAlignment w:val="auto"/>
        <w:rPr>
          <w:b/>
          <w:color w:val="000000"/>
          <w:sz w:val="24"/>
        </w:rPr>
      </w:pPr>
      <w:r>
        <w:rPr>
          <w:rFonts w:hint="eastAsia" w:ascii="仿宋_GB2312" w:hAnsi="宋体" w:eastAsia="仿宋_GB2312"/>
          <w:b/>
          <w:sz w:val="32"/>
          <w:szCs w:val="32"/>
        </w:rPr>
        <w:t>第九条</w:t>
      </w:r>
      <w:r>
        <w:rPr>
          <w:rFonts w:hint="eastAsia" w:ascii="仿宋_GB2312" w:hAnsi="宋体" w:eastAsia="仿宋_GB2312"/>
          <w:b/>
          <w:sz w:val="32"/>
          <w:szCs w:val="32"/>
          <w:lang w:val="en-US" w:eastAsia="zh-CN"/>
        </w:rPr>
        <w:t>.</w:t>
      </w:r>
      <w:r>
        <w:rPr>
          <w:rFonts w:hint="eastAsia" w:ascii="仿宋_GB2312" w:hAnsi="宋体" w:eastAsia="仿宋_GB2312"/>
          <w:b/>
          <w:sz w:val="32"/>
          <w:szCs w:val="32"/>
        </w:rPr>
        <w:t>附则</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color w:val="000000"/>
          <w:sz w:val="24"/>
        </w:rPr>
      </w:pPr>
      <w:r>
        <w:rPr>
          <w:rFonts w:hint="eastAsia"/>
          <w:color w:val="000000"/>
          <w:sz w:val="24"/>
        </w:rPr>
        <w:t>1、本合同自双方盖章签字后生效，工程验收合格后自行终止。</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color w:val="000000"/>
          <w:sz w:val="24"/>
        </w:rPr>
      </w:pPr>
      <w:r>
        <w:rPr>
          <w:rFonts w:hint="eastAsia"/>
          <w:color w:val="000000"/>
          <w:sz w:val="24"/>
        </w:rPr>
        <w:t>2、本合同如有未尽事宜，双方可以根据具体情况议定附加条款，以便共同遵守。</w:t>
      </w:r>
      <w:r>
        <w:rPr>
          <w:rFonts w:hint="eastAsia"/>
          <w:color w:val="000000"/>
          <w:sz w:val="24"/>
        </w:rPr>
        <w:br w:type="textWrapping"/>
      </w:r>
      <w:r>
        <w:rPr>
          <w:rFonts w:hint="eastAsia"/>
          <w:color w:val="000000"/>
          <w:sz w:val="24"/>
        </w:rPr>
        <w:t>3、招标文件、投标文件作为本合同附件。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ascii="宋体"/>
          <w:sz w:val="24"/>
        </w:rPr>
      </w:pPr>
      <w:r>
        <w:rPr>
          <w:rFonts w:hint="eastAsia"/>
          <w:color w:val="000000"/>
          <w:sz w:val="24"/>
        </w:rPr>
        <w:t>4、本合同正本四份，甲、乙双方各执二份。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000000"/>
          <w:sz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ascii="宋体" w:hAnsi="宋体"/>
          <w:sz w:val="24"/>
        </w:rPr>
      </w:pPr>
      <w:r>
        <w:rPr>
          <w:rFonts w:hint="eastAsia" w:ascii="宋体" w:hAnsi="宋体"/>
          <w:sz w:val="24"/>
        </w:rPr>
        <w:t>甲方：（盖章）</w:t>
      </w:r>
      <w:r>
        <w:rPr>
          <w:rFonts w:hint="eastAsia" w:ascii="宋体" w:hAnsi="宋体"/>
          <w:sz w:val="24"/>
          <w:lang w:val="en-US" w:eastAsia="zh-CN"/>
        </w:rPr>
        <w:t xml:space="preserve">                         </w:t>
      </w:r>
      <w:r>
        <w:rPr>
          <w:rFonts w:hint="eastAsia" w:ascii="宋体" w:hAnsi="宋体"/>
          <w:sz w:val="24"/>
        </w:rPr>
        <w:t>乙方：（盖章）</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sz w:val="24"/>
          <w:lang w:eastAsia="zh-CN"/>
        </w:rPr>
      </w:pPr>
      <w:r>
        <w:rPr>
          <w:rFonts w:hint="eastAsia" w:ascii="宋体" w:hAnsi="宋体"/>
          <w:sz w:val="24"/>
        </w:rPr>
        <w:t>法定代表人</w:t>
      </w:r>
      <w:r>
        <w:rPr>
          <w:rFonts w:hint="eastAsia" w:ascii="宋体" w:hAnsi="宋体"/>
          <w:sz w:val="24"/>
          <w:lang w:eastAsia="zh-CN"/>
        </w:rPr>
        <w:t>：</w:t>
      </w:r>
      <w:r>
        <w:rPr>
          <w:rFonts w:hint="eastAsia" w:ascii="宋体" w:hAnsi="宋体"/>
          <w:sz w:val="24"/>
          <w:lang w:val="en-US" w:eastAsia="zh-CN"/>
        </w:rPr>
        <w:t xml:space="preserve">                           </w:t>
      </w:r>
      <w:r>
        <w:rPr>
          <w:rFonts w:hint="eastAsia" w:ascii="宋体" w:hAnsi="宋体"/>
          <w:sz w:val="24"/>
        </w:rPr>
        <w:t>法定代表人</w:t>
      </w:r>
      <w:r>
        <w:rPr>
          <w:rFonts w:hint="eastAsia" w:ascii="宋体" w:hAnsi="宋体"/>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rPr>
      </w:pPr>
      <w:r>
        <w:rPr>
          <w:rFonts w:hint="eastAsia" w:ascii="宋体" w:hAnsi="宋体"/>
          <w:sz w:val="24"/>
        </w:rPr>
        <w:t>或其委托代理人：</w:t>
      </w:r>
      <w:r>
        <w:rPr>
          <w:rFonts w:hint="eastAsia" w:ascii="宋体" w:hAnsi="宋体"/>
          <w:sz w:val="24"/>
          <w:lang w:val="en-US" w:eastAsia="zh-CN"/>
        </w:rPr>
        <w:t xml:space="preserve">                       </w:t>
      </w:r>
      <w:r>
        <w:rPr>
          <w:rFonts w:hint="eastAsia" w:ascii="宋体" w:hAnsi="宋体"/>
          <w:sz w:val="24"/>
        </w:rPr>
        <w:t>或其委托代理人：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ascii="宋体" w:hAnsi="宋体"/>
          <w:sz w:val="24"/>
        </w:rPr>
      </w:pPr>
      <w:r>
        <w:rPr>
          <w:rFonts w:hint="eastAsia" w:ascii="宋体" w:hAnsi="宋体"/>
          <w:sz w:val="24"/>
        </w:rPr>
        <w:t>电话：</w:t>
      </w:r>
      <w:r>
        <w:rPr>
          <w:rFonts w:hint="eastAsia" w:ascii="宋体" w:hAnsi="宋体"/>
          <w:sz w:val="24"/>
          <w:lang w:val="en-US" w:eastAsia="zh-CN"/>
        </w:rPr>
        <w:t xml:space="preserve">                                 </w:t>
      </w:r>
      <w:r>
        <w:rPr>
          <w:rFonts w:hint="eastAsia" w:ascii="宋体" w:hAnsi="宋体"/>
          <w:sz w:val="24"/>
        </w:rPr>
        <w:t>电话：</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ascii="宋体" w:hAnsi="宋体"/>
          <w:sz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b/>
          <w:sz w:val="30"/>
          <w:szCs w:val="30"/>
        </w:rPr>
      </w:pPr>
      <w:r>
        <w:rPr>
          <w:rFonts w:hint="eastAsia" w:ascii="宋体" w:hAnsi="宋体"/>
          <w:sz w:val="24"/>
        </w:rPr>
        <w:t>日期：</w:t>
      </w:r>
      <w:r>
        <w:rPr>
          <w:rFonts w:hint="eastAsia" w:ascii="宋体" w:hAnsi="宋体"/>
          <w:sz w:val="24"/>
          <w:lang w:val="en-US" w:eastAsia="zh-CN"/>
        </w:rPr>
        <w:t xml:space="preserve">                                 </w:t>
      </w:r>
      <w:r>
        <w:rPr>
          <w:rFonts w:hint="eastAsia" w:ascii="宋体" w:hAnsi="宋体"/>
          <w:sz w:val="24"/>
        </w:rPr>
        <w:t>日期：</w:t>
      </w:r>
    </w:p>
    <w:p>
      <w:pPr>
        <w:jc w:val="center"/>
        <w:rPr>
          <w:b/>
          <w:sz w:val="30"/>
          <w:szCs w:val="30"/>
        </w:rPr>
      </w:pPr>
      <w:r>
        <w:rPr>
          <w:rFonts w:hint="eastAsia"/>
          <w:b/>
          <w:sz w:val="30"/>
          <w:szCs w:val="30"/>
        </w:rPr>
        <w:t>标价的工程量清单</w:t>
      </w:r>
    </w:p>
    <w:p>
      <w:pPr>
        <w:spacing w:line="360" w:lineRule="auto"/>
        <w:rPr>
          <w:rFonts w:hint="eastAsia" w:eastAsia="宋体"/>
          <w:sz w:val="24"/>
          <w:lang w:eastAsia="zh-CN"/>
        </w:rPr>
      </w:pPr>
      <w:r>
        <w:rPr>
          <w:rFonts w:hint="eastAsia"/>
          <w:sz w:val="24"/>
          <w:u w:val="single"/>
        </w:rPr>
        <w:t>合同段：</w:t>
      </w:r>
      <w:r>
        <w:rPr>
          <w:rFonts w:hint="eastAsia"/>
          <w:sz w:val="24"/>
        </w:rPr>
        <w:t>纵二线连江境104国道陀市至南塘段改线工程A2标段</w:t>
      </w:r>
      <w:r>
        <w:rPr>
          <w:rFonts w:hint="eastAsia"/>
          <w:sz w:val="24"/>
          <w:lang w:eastAsia="zh-CN"/>
        </w:rPr>
        <w:t>绿化工程</w:t>
      </w:r>
    </w:p>
    <w:tbl>
      <w:tblPr>
        <w:tblStyle w:val="9"/>
        <w:tblpPr w:leftFromText="180" w:rightFromText="180" w:vertAnchor="text" w:horzAnchor="page" w:tblpX="1317" w:tblpY="134"/>
        <w:tblOverlap w:val="never"/>
        <w:tblW w:w="100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807"/>
        <w:gridCol w:w="1272"/>
        <w:gridCol w:w="716"/>
        <w:gridCol w:w="942"/>
        <w:gridCol w:w="1305"/>
        <w:gridCol w:w="1039"/>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rPr>
                <w:kern w:val="2"/>
              </w:rPr>
            </w:pPr>
            <w:r>
              <w:rPr>
                <w:rFonts w:hint="eastAsia"/>
                <w:kern w:val="2"/>
              </w:rPr>
              <w:t>序号</w:t>
            </w:r>
          </w:p>
        </w:tc>
        <w:tc>
          <w:tcPr>
            <w:tcW w:w="2807" w:type="dxa"/>
            <w:tcBorders>
              <w:top w:val="single" w:color="auto" w:sz="4" w:space="0"/>
              <w:left w:val="single" w:color="auto" w:sz="4" w:space="0"/>
              <w:bottom w:val="single" w:color="auto" w:sz="4" w:space="0"/>
              <w:right w:val="single" w:color="auto" w:sz="4" w:space="0"/>
            </w:tcBorders>
            <w:vAlign w:val="center"/>
          </w:tcPr>
          <w:p>
            <w:pPr>
              <w:pStyle w:val="15"/>
              <w:rPr>
                <w:kern w:val="2"/>
              </w:rPr>
            </w:pPr>
            <w:r>
              <w:rPr>
                <w:rFonts w:hint="eastAsia"/>
                <w:kern w:val="2"/>
              </w:rPr>
              <w:t>项目</w:t>
            </w:r>
          </w:p>
        </w:tc>
        <w:tc>
          <w:tcPr>
            <w:tcW w:w="1272" w:type="dxa"/>
            <w:tcBorders>
              <w:top w:val="single" w:color="auto" w:sz="4" w:space="0"/>
              <w:left w:val="single" w:color="auto" w:sz="4" w:space="0"/>
              <w:bottom w:val="single" w:color="auto" w:sz="4" w:space="0"/>
              <w:right w:val="single" w:color="auto" w:sz="4" w:space="0"/>
            </w:tcBorders>
            <w:vAlign w:val="center"/>
          </w:tcPr>
          <w:p>
            <w:pPr>
              <w:pStyle w:val="15"/>
              <w:rPr>
                <w:kern w:val="2"/>
              </w:rPr>
            </w:pPr>
            <w:r>
              <w:rPr>
                <w:rFonts w:hint="eastAsia"/>
                <w:kern w:val="2"/>
              </w:rPr>
              <w:t>内容</w:t>
            </w:r>
          </w:p>
        </w:tc>
        <w:tc>
          <w:tcPr>
            <w:tcW w:w="716" w:type="dxa"/>
            <w:tcBorders>
              <w:top w:val="single" w:color="auto" w:sz="4" w:space="0"/>
              <w:left w:val="single" w:color="auto" w:sz="4" w:space="0"/>
              <w:bottom w:val="single" w:color="auto" w:sz="4" w:space="0"/>
              <w:right w:val="single" w:color="auto" w:sz="4" w:space="0"/>
            </w:tcBorders>
            <w:vAlign w:val="center"/>
          </w:tcPr>
          <w:p>
            <w:pPr>
              <w:pStyle w:val="15"/>
              <w:rPr>
                <w:kern w:val="2"/>
              </w:rPr>
            </w:pPr>
            <w:r>
              <w:rPr>
                <w:rFonts w:hint="eastAsia"/>
                <w:kern w:val="2"/>
              </w:rPr>
              <w:t>单位</w:t>
            </w:r>
          </w:p>
        </w:tc>
        <w:tc>
          <w:tcPr>
            <w:tcW w:w="942" w:type="dxa"/>
            <w:tcBorders>
              <w:top w:val="single" w:color="auto" w:sz="4" w:space="0"/>
              <w:left w:val="single" w:color="auto" w:sz="4" w:space="0"/>
              <w:bottom w:val="single" w:color="auto" w:sz="4" w:space="0"/>
              <w:right w:val="single" w:color="auto" w:sz="4" w:space="0"/>
            </w:tcBorders>
            <w:vAlign w:val="center"/>
          </w:tcPr>
          <w:p>
            <w:pPr>
              <w:pStyle w:val="15"/>
              <w:rPr>
                <w:kern w:val="2"/>
              </w:rPr>
            </w:pPr>
            <w:r>
              <w:rPr>
                <w:rFonts w:hint="eastAsia"/>
                <w:kern w:val="2"/>
              </w:rPr>
              <w:t>计划工作量</w:t>
            </w:r>
          </w:p>
        </w:tc>
        <w:tc>
          <w:tcPr>
            <w:tcW w:w="1305" w:type="dxa"/>
            <w:tcBorders>
              <w:top w:val="single" w:color="auto" w:sz="4" w:space="0"/>
              <w:left w:val="single" w:color="auto" w:sz="4" w:space="0"/>
              <w:bottom w:val="single" w:color="auto" w:sz="4" w:space="0"/>
              <w:right w:val="single" w:color="auto" w:sz="4" w:space="0"/>
            </w:tcBorders>
            <w:vAlign w:val="center"/>
          </w:tcPr>
          <w:p>
            <w:pPr>
              <w:pStyle w:val="15"/>
              <w:rPr>
                <w:kern w:val="2"/>
              </w:rPr>
            </w:pPr>
            <w:r>
              <w:rPr>
                <w:rFonts w:hint="eastAsia"/>
                <w:kern w:val="2"/>
              </w:rPr>
              <w:t>单价（元）</w:t>
            </w:r>
          </w:p>
        </w:tc>
        <w:tc>
          <w:tcPr>
            <w:tcW w:w="1039" w:type="dxa"/>
            <w:tcBorders>
              <w:top w:val="single" w:color="auto" w:sz="4" w:space="0"/>
              <w:left w:val="single" w:color="auto" w:sz="4" w:space="0"/>
              <w:bottom w:val="single" w:color="auto" w:sz="4" w:space="0"/>
              <w:right w:val="single" w:color="auto" w:sz="4" w:space="0"/>
            </w:tcBorders>
            <w:vAlign w:val="center"/>
          </w:tcPr>
          <w:p>
            <w:r>
              <w:rPr>
                <w:rFonts w:hint="eastAsia"/>
              </w:rPr>
              <w:t>合价(元)</w:t>
            </w:r>
          </w:p>
        </w:tc>
        <w:tc>
          <w:tcPr>
            <w:tcW w:w="1166" w:type="dxa"/>
            <w:tcBorders>
              <w:top w:val="single" w:color="auto" w:sz="4" w:space="0"/>
              <w:left w:val="single" w:color="auto" w:sz="4" w:space="0"/>
              <w:bottom w:val="single" w:color="auto" w:sz="4" w:space="0"/>
              <w:right w:val="single" w:color="auto" w:sz="4" w:space="0"/>
            </w:tcBorders>
            <w:vAlign w:val="center"/>
          </w:tcPr>
          <w:p>
            <w:pPr>
              <w:pStyle w:val="15"/>
              <w:rPr>
                <w:kern w:val="2"/>
              </w:rPr>
            </w:pPr>
            <w:r>
              <w:rPr>
                <w:rFonts w:hint="eastAsia"/>
                <w:kern w:val="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1</w:t>
            </w:r>
          </w:p>
        </w:tc>
        <w:tc>
          <w:tcPr>
            <w:tcW w:w="4079" w:type="dxa"/>
            <w:gridSpan w:val="2"/>
            <w:tcBorders>
              <w:top w:val="single" w:color="auto" w:sz="4" w:space="0"/>
              <w:left w:val="single" w:color="auto" w:sz="4" w:space="0"/>
              <w:right w:val="single" w:color="auto" w:sz="4" w:space="0"/>
            </w:tcBorders>
            <w:vAlign w:val="center"/>
          </w:tcPr>
          <w:p>
            <w:pPr>
              <w:pStyle w:val="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喷播草籽防护（土工布、土工膜包含于单价中，不另计）</w:t>
            </w:r>
          </w:p>
        </w:tc>
        <w:tc>
          <w:tcPr>
            <w:tcW w:w="716" w:type="dxa"/>
            <w:tcBorders>
              <w:top w:val="single" w:color="auto" w:sz="4" w:space="0"/>
              <w:left w:val="single" w:color="auto" w:sz="4" w:space="0"/>
              <w:bottom w:val="single" w:color="auto" w:sz="4" w:space="0"/>
              <w:right w:val="single" w:color="auto" w:sz="4" w:space="0"/>
            </w:tcBorders>
            <w:vAlign w:val="center"/>
          </w:tcPr>
          <w:p>
            <w:pPr>
              <w:pStyle w:val="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m</w:t>
            </w:r>
            <w:r>
              <w:rPr>
                <w:rFonts w:hint="eastAsia" w:asciiTheme="minorEastAsia" w:hAnsiTheme="minorEastAsia" w:eastAsiaTheme="minorEastAsia" w:cstheme="minorEastAsia"/>
                <w:sz w:val="24"/>
                <w:szCs w:val="24"/>
                <w:vertAlign w:val="superscript"/>
              </w:rPr>
              <w:t>2</w:t>
            </w:r>
          </w:p>
        </w:tc>
        <w:tc>
          <w:tcPr>
            <w:tcW w:w="942" w:type="dxa"/>
            <w:tcBorders>
              <w:top w:val="single" w:color="auto" w:sz="4" w:space="0"/>
              <w:left w:val="single" w:color="auto" w:sz="4" w:space="0"/>
              <w:bottom w:val="single" w:color="auto" w:sz="4" w:space="0"/>
              <w:right w:val="single" w:color="auto" w:sz="4" w:space="0"/>
            </w:tcBorders>
            <w:vAlign w:val="center"/>
          </w:tcPr>
          <w:p>
            <w:pPr>
              <w:pStyle w:val="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18"/>
                <w:szCs w:val="18"/>
              </w:rPr>
              <w:t>116378.6</w:t>
            </w:r>
          </w:p>
        </w:tc>
        <w:tc>
          <w:tcPr>
            <w:tcW w:w="1305" w:type="dxa"/>
            <w:tcBorders>
              <w:top w:val="single" w:color="auto" w:sz="4" w:space="0"/>
              <w:left w:val="single" w:color="auto" w:sz="4" w:space="0"/>
              <w:bottom w:val="single" w:color="auto" w:sz="4" w:space="0"/>
              <w:right w:val="single" w:color="auto" w:sz="4" w:space="0"/>
            </w:tcBorders>
          </w:tcPr>
          <w:p>
            <w:pPr>
              <w:pStyle w:val="15"/>
              <w:rPr>
                <w:kern w:val="2"/>
                <w:sz w:val="24"/>
                <w:szCs w:val="24"/>
              </w:rPr>
            </w:pPr>
          </w:p>
        </w:tc>
        <w:tc>
          <w:tcPr>
            <w:tcW w:w="1039" w:type="dxa"/>
            <w:tcBorders>
              <w:top w:val="single" w:color="auto" w:sz="4" w:space="0"/>
              <w:left w:val="single" w:color="auto" w:sz="4" w:space="0"/>
              <w:bottom w:val="single" w:color="auto" w:sz="4" w:space="0"/>
              <w:right w:val="single" w:color="auto" w:sz="4" w:space="0"/>
            </w:tcBorders>
          </w:tcPr>
          <w:p>
            <w:pPr>
              <w:pStyle w:val="15"/>
              <w:ind w:right="-6" w:rightChars="-3"/>
              <w:rPr>
                <w:kern w:val="2"/>
                <w:sz w:val="24"/>
                <w:szCs w:val="24"/>
              </w:rPr>
            </w:pPr>
          </w:p>
        </w:tc>
        <w:tc>
          <w:tcPr>
            <w:tcW w:w="1166" w:type="dxa"/>
            <w:tcBorders>
              <w:top w:val="single" w:color="auto" w:sz="4" w:space="0"/>
              <w:left w:val="single" w:color="auto" w:sz="4" w:space="0"/>
              <w:bottom w:val="single" w:color="auto" w:sz="4" w:space="0"/>
              <w:right w:val="single" w:color="auto" w:sz="4" w:space="0"/>
            </w:tcBorders>
            <w:vAlign w:val="center"/>
          </w:tcPr>
          <w:p>
            <w:pPr>
              <w:pStyle w:val="15"/>
              <w:jc w:val="both"/>
              <w:rPr>
                <w:rFonts w:hint="eastAsia" w:eastAsia="宋体"/>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2</w:t>
            </w:r>
          </w:p>
        </w:tc>
        <w:tc>
          <w:tcPr>
            <w:tcW w:w="4079" w:type="dxa"/>
            <w:gridSpan w:val="2"/>
            <w:tcBorders>
              <w:top w:val="single" w:color="auto" w:sz="4" w:space="0"/>
              <w:left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客土喷播护坡（土工布包含于单价中，不另计）客土喷播草籽（2cm厚）</w:t>
            </w:r>
          </w:p>
          <w:p>
            <w:pPr>
              <w:pStyle w:val="15"/>
              <w:jc w:val="center"/>
              <w:rPr>
                <w:rFonts w:asciiTheme="minorEastAsia" w:hAnsiTheme="minorEastAsia" w:eastAsiaTheme="minorEastAsia" w:cstheme="minorEastAsia"/>
                <w:sz w:val="24"/>
                <w:szCs w:val="24"/>
              </w:rPr>
            </w:pPr>
          </w:p>
        </w:tc>
        <w:tc>
          <w:tcPr>
            <w:tcW w:w="7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m</w:t>
            </w:r>
            <w:r>
              <w:rPr>
                <w:rFonts w:hint="eastAsia" w:asciiTheme="minorEastAsia" w:hAnsiTheme="minorEastAsia" w:eastAsiaTheme="minorEastAsia" w:cstheme="minorEastAsia"/>
                <w:kern w:val="0"/>
                <w:sz w:val="24"/>
                <w:szCs w:val="24"/>
                <w:vertAlign w:val="superscript"/>
                <w:lang w:val="en-US" w:eastAsia="zh-CN" w:bidi="ar-SA"/>
              </w:rPr>
              <w:t>2</w:t>
            </w:r>
          </w:p>
          <w:p>
            <w:pPr>
              <w:pStyle w:val="15"/>
              <w:jc w:val="center"/>
              <w:rPr>
                <w:rFonts w:asciiTheme="minorEastAsia" w:hAnsiTheme="minorEastAsia" w:eastAsiaTheme="minorEastAsia" w:cstheme="minorEastAsia"/>
                <w:sz w:val="24"/>
                <w:szCs w:val="24"/>
              </w:rPr>
            </w:pPr>
          </w:p>
        </w:tc>
        <w:tc>
          <w:tcPr>
            <w:tcW w:w="942" w:type="dxa"/>
            <w:tcBorders>
              <w:top w:val="single" w:color="auto" w:sz="4" w:space="0"/>
              <w:left w:val="single" w:color="auto" w:sz="4" w:space="0"/>
              <w:bottom w:val="single" w:color="auto" w:sz="4" w:space="0"/>
              <w:right w:val="single" w:color="auto" w:sz="4" w:space="0"/>
            </w:tcBorders>
            <w:vAlign w:val="center"/>
          </w:tcPr>
          <w:p>
            <w:pPr>
              <w:pStyle w:val="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18"/>
                <w:szCs w:val="18"/>
                <w:lang w:val="en-US" w:eastAsia="zh-CN" w:bidi="ar-SA"/>
              </w:rPr>
              <w:t>917.0</w:t>
            </w:r>
          </w:p>
        </w:tc>
        <w:tc>
          <w:tcPr>
            <w:tcW w:w="1305" w:type="dxa"/>
            <w:tcBorders>
              <w:top w:val="single" w:color="auto" w:sz="4" w:space="0"/>
              <w:left w:val="single" w:color="auto" w:sz="4" w:space="0"/>
              <w:bottom w:val="single" w:color="auto" w:sz="4" w:space="0"/>
              <w:right w:val="single" w:color="auto" w:sz="4" w:space="0"/>
            </w:tcBorders>
          </w:tcPr>
          <w:p>
            <w:pPr>
              <w:pStyle w:val="15"/>
              <w:rPr>
                <w:kern w:val="2"/>
                <w:sz w:val="24"/>
                <w:szCs w:val="24"/>
              </w:rPr>
            </w:pPr>
          </w:p>
        </w:tc>
        <w:tc>
          <w:tcPr>
            <w:tcW w:w="1039" w:type="dxa"/>
            <w:tcBorders>
              <w:top w:val="single" w:color="auto" w:sz="4" w:space="0"/>
              <w:left w:val="single" w:color="auto" w:sz="4" w:space="0"/>
              <w:bottom w:val="single" w:color="auto" w:sz="4" w:space="0"/>
              <w:right w:val="single" w:color="auto" w:sz="4" w:space="0"/>
            </w:tcBorders>
          </w:tcPr>
          <w:p>
            <w:pPr>
              <w:pStyle w:val="15"/>
              <w:ind w:right="-6" w:rightChars="-3"/>
              <w:rPr>
                <w:kern w:val="2"/>
                <w:sz w:val="24"/>
                <w:szCs w:val="24"/>
              </w:rPr>
            </w:pPr>
          </w:p>
        </w:tc>
        <w:tc>
          <w:tcPr>
            <w:tcW w:w="1166" w:type="dxa"/>
            <w:tcBorders>
              <w:top w:val="single" w:color="auto" w:sz="4" w:space="0"/>
              <w:left w:val="single" w:color="auto" w:sz="4" w:space="0"/>
              <w:bottom w:val="single" w:color="auto" w:sz="4" w:space="0"/>
              <w:right w:val="single" w:color="auto" w:sz="4" w:space="0"/>
            </w:tcBorders>
            <w:vAlign w:val="center"/>
          </w:tcPr>
          <w:p>
            <w:pPr>
              <w:pStyle w:val="15"/>
              <w:jc w:val="both"/>
              <w:rPr>
                <w:rFonts w:hint="eastAsia" w:eastAsia="宋体"/>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p>
        </w:tc>
        <w:tc>
          <w:tcPr>
            <w:tcW w:w="4079" w:type="dxa"/>
            <w:gridSpan w:val="2"/>
            <w:tcBorders>
              <w:top w:val="single" w:color="auto" w:sz="4" w:space="0"/>
              <w:left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客土喷播护坡（土工布包含于单价中，不另计）客土喷播草籽（4cm厚）</w:t>
            </w:r>
          </w:p>
          <w:p>
            <w:pPr>
              <w:pStyle w:val="15"/>
              <w:jc w:val="center"/>
              <w:rPr>
                <w:rFonts w:asciiTheme="minorEastAsia" w:hAnsiTheme="minorEastAsia" w:eastAsiaTheme="minorEastAsia" w:cstheme="minorEastAsia"/>
                <w:sz w:val="24"/>
                <w:szCs w:val="24"/>
              </w:rPr>
            </w:pPr>
          </w:p>
        </w:tc>
        <w:tc>
          <w:tcPr>
            <w:tcW w:w="716" w:type="dxa"/>
            <w:tcBorders>
              <w:top w:val="single" w:color="auto" w:sz="4" w:space="0"/>
              <w:left w:val="single" w:color="auto" w:sz="4" w:space="0"/>
              <w:bottom w:val="single" w:color="auto" w:sz="4" w:space="0"/>
              <w:right w:val="single" w:color="auto" w:sz="4" w:space="0"/>
            </w:tcBorders>
            <w:vAlign w:val="center"/>
          </w:tcPr>
          <w:p>
            <w:pPr>
              <w:pStyle w:val="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SA"/>
              </w:rPr>
              <w:t>m</w:t>
            </w:r>
            <w:r>
              <w:rPr>
                <w:rFonts w:hint="eastAsia" w:asciiTheme="minorEastAsia" w:hAnsiTheme="minorEastAsia" w:eastAsiaTheme="minorEastAsia" w:cstheme="minorEastAsia"/>
                <w:kern w:val="0"/>
                <w:sz w:val="24"/>
                <w:szCs w:val="24"/>
                <w:vertAlign w:val="superscript"/>
                <w:lang w:val="en-US" w:eastAsia="zh-CN" w:bidi="ar-SA"/>
              </w:rPr>
              <w:t>2</w:t>
            </w:r>
          </w:p>
        </w:tc>
        <w:tc>
          <w:tcPr>
            <w:tcW w:w="9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24148.1</w:t>
            </w:r>
          </w:p>
          <w:p>
            <w:pPr>
              <w:pStyle w:val="15"/>
              <w:jc w:val="center"/>
              <w:rPr>
                <w:rFonts w:asciiTheme="minorEastAsia" w:hAnsiTheme="minorEastAsia" w:eastAsiaTheme="minorEastAsia" w:cstheme="minorEastAsia"/>
                <w:sz w:val="24"/>
                <w:szCs w:val="24"/>
              </w:rPr>
            </w:pPr>
          </w:p>
        </w:tc>
        <w:tc>
          <w:tcPr>
            <w:tcW w:w="1305" w:type="dxa"/>
            <w:tcBorders>
              <w:top w:val="single" w:color="auto" w:sz="4" w:space="0"/>
              <w:left w:val="single" w:color="auto" w:sz="4" w:space="0"/>
              <w:bottom w:val="single" w:color="auto" w:sz="4" w:space="0"/>
              <w:right w:val="single" w:color="auto" w:sz="4" w:space="0"/>
            </w:tcBorders>
          </w:tcPr>
          <w:p>
            <w:pPr>
              <w:pStyle w:val="15"/>
              <w:rPr>
                <w:kern w:val="2"/>
                <w:sz w:val="24"/>
                <w:szCs w:val="24"/>
              </w:rPr>
            </w:pPr>
          </w:p>
        </w:tc>
        <w:tc>
          <w:tcPr>
            <w:tcW w:w="1039" w:type="dxa"/>
            <w:tcBorders>
              <w:top w:val="single" w:color="auto" w:sz="4" w:space="0"/>
              <w:left w:val="single" w:color="auto" w:sz="4" w:space="0"/>
              <w:bottom w:val="single" w:color="auto" w:sz="4" w:space="0"/>
              <w:right w:val="single" w:color="auto" w:sz="4" w:space="0"/>
            </w:tcBorders>
          </w:tcPr>
          <w:p>
            <w:pPr>
              <w:pStyle w:val="15"/>
              <w:ind w:right="-6" w:rightChars="-3"/>
              <w:rPr>
                <w:kern w:val="2"/>
                <w:sz w:val="24"/>
                <w:szCs w:val="24"/>
              </w:rPr>
            </w:pPr>
          </w:p>
        </w:tc>
        <w:tc>
          <w:tcPr>
            <w:tcW w:w="1166" w:type="dxa"/>
            <w:tcBorders>
              <w:top w:val="single" w:color="auto" w:sz="4" w:space="0"/>
              <w:left w:val="single" w:color="auto" w:sz="4" w:space="0"/>
              <w:bottom w:val="single" w:color="auto" w:sz="4" w:space="0"/>
              <w:right w:val="single" w:color="auto" w:sz="4" w:space="0"/>
            </w:tcBorders>
            <w:vAlign w:val="center"/>
          </w:tcPr>
          <w:p>
            <w:pPr>
              <w:pStyle w:val="15"/>
              <w:jc w:val="both"/>
              <w:rPr>
                <w:rFonts w:hint="eastAsia" w:eastAsia="宋体"/>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4</w:t>
            </w:r>
          </w:p>
        </w:tc>
        <w:tc>
          <w:tcPr>
            <w:tcW w:w="4079" w:type="dxa"/>
            <w:gridSpan w:val="2"/>
            <w:tcBorders>
              <w:top w:val="single" w:color="auto" w:sz="4" w:space="0"/>
              <w:left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TBS镀锌网防护(含土工布、植草、镀锌网含于单价中，不另计）</w:t>
            </w:r>
          </w:p>
          <w:p>
            <w:pPr>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坡面喷射7cmTBS镀锌网防护</w:t>
            </w:r>
          </w:p>
          <w:p>
            <w:pPr>
              <w:pStyle w:val="15"/>
              <w:jc w:val="center"/>
              <w:rPr>
                <w:rFonts w:asciiTheme="minorEastAsia" w:hAnsiTheme="minorEastAsia" w:eastAsiaTheme="minorEastAsia" w:cstheme="minorEastAsia"/>
                <w:sz w:val="24"/>
                <w:szCs w:val="24"/>
              </w:rPr>
            </w:pPr>
          </w:p>
        </w:tc>
        <w:tc>
          <w:tcPr>
            <w:tcW w:w="716" w:type="dxa"/>
            <w:tcBorders>
              <w:top w:val="single" w:color="auto" w:sz="4" w:space="0"/>
              <w:left w:val="single" w:color="auto" w:sz="4" w:space="0"/>
              <w:bottom w:val="single" w:color="auto" w:sz="4" w:space="0"/>
              <w:right w:val="single" w:color="auto" w:sz="4" w:space="0"/>
            </w:tcBorders>
            <w:vAlign w:val="center"/>
          </w:tcPr>
          <w:p>
            <w:pPr>
              <w:pStyle w:val="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SA"/>
              </w:rPr>
              <w:t>m</w:t>
            </w:r>
            <w:r>
              <w:rPr>
                <w:rFonts w:hint="eastAsia" w:asciiTheme="minorEastAsia" w:hAnsiTheme="minorEastAsia" w:eastAsiaTheme="minorEastAsia" w:cstheme="minorEastAsia"/>
                <w:kern w:val="0"/>
                <w:sz w:val="24"/>
                <w:szCs w:val="24"/>
                <w:vertAlign w:val="superscript"/>
                <w:lang w:val="en-US" w:eastAsia="zh-CN" w:bidi="ar-SA"/>
              </w:rPr>
              <w:t>2</w:t>
            </w:r>
          </w:p>
        </w:tc>
        <w:tc>
          <w:tcPr>
            <w:tcW w:w="942" w:type="dxa"/>
            <w:tcBorders>
              <w:top w:val="single" w:color="auto" w:sz="4" w:space="0"/>
              <w:left w:val="single" w:color="auto" w:sz="4" w:space="0"/>
              <w:bottom w:val="single" w:color="auto" w:sz="4" w:space="0"/>
              <w:right w:val="single" w:color="auto" w:sz="4" w:space="0"/>
            </w:tcBorders>
            <w:vAlign w:val="center"/>
          </w:tcPr>
          <w:p>
            <w:pPr>
              <w:pStyle w:val="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18"/>
                <w:szCs w:val="18"/>
                <w:lang w:val="en-US" w:eastAsia="zh-CN" w:bidi="ar-SA"/>
              </w:rPr>
              <w:t>25269.9</w:t>
            </w:r>
          </w:p>
        </w:tc>
        <w:tc>
          <w:tcPr>
            <w:tcW w:w="1305" w:type="dxa"/>
            <w:tcBorders>
              <w:top w:val="single" w:color="auto" w:sz="4" w:space="0"/>
              <w:left w:val="single" w:color="auto" w:sz="4" w:space="0"/>
              <w:bottom w:val="single" w:color="auto" w:sz="4" w:space="0"/>
              <w:right w:val="single" w:color="auto" w:sz="4" w:space="0"/>
            </w:tcBorders>
          </w:tcPr>
          <w:p>
            <w:pPr>
              <w:pStyle w:val="15"/>
              <w:rPr>
                <w:kern w:val="2"/>
                <w:sz w:val="24"/>
                <w:szCs w:val="24"/>
              </w:rPr>
            </w:pPr>
          </w:p>
        </w:tc>
        <w:tc>
          <w:tcPr>
            <w:tcW w:w="1039" w:type="dxa"/>
            <w:tcBorders>
              <w:top w:val="single" w:color="auto" w:sz="4" w:space="0"/>
              <w:left w:val="single" w:color="auto" w:sz="4" w:space="0"/>
              <w:bottom w:val="single" w:color="auto" w:sz="4" w:space="0"/>
              <w:right w:val="single" w:color="auto" w:sz="4" w:space="0"/>
            </w:tcBorders>
          </w:tcPr>
          <w:p>
            <w:pPr>
              <w:pStyle w:val="15"/>
              <w:ind w:right="-6" w:rightChars="-3"/>
              <w:rPr>
                <w:kern w:val="2"/>
                <w:sz w:val="24"/>
                <w:szCs w:val="24"/>
              </w:rPr>
            </w:pPr>
          </w:p>
        </w:tc>
        <w:tc>
          <w:tcPr>
            <w:tcW w:w="1166" w:type="dxa"/>
            <w:tcBorders>
              <w:top w:val="single" w:color="auto" w:sz="4" w:space="0"/>
              <w:left w:val="single" w:color="auto" w:sz="4" w:space="0"/>
              <w:bottom w:val="single" w:color="auto" w:sz="4" w:space="0"/>
              <w:right w:val="single" w:color="auto" w:sz="4" w:space="0"/>
            </w:tcBorders>
            <w:vAlign w:val="center"/>
          </w:tcPr>
          <w:p>
            <w:pPr>
              <w:pStyle w:val="15"/>
              <w:jc w:val="both"/>
              <w:rPr>
                <w:rFonts w:hint="eastAsia" w:eastAsia="宋体"/>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eastAsia="宋体"/>
                <w:kern w:val="2"/>
                <w:lang w:val="en-US" w:eastAsia="zh-CN"/>
              </w:rPr>
            </w:pPr>
            <w:r>
              <w:rPr>
                <w:rFonts w:hint="eastAsia"/>
                <w:kern w:val="2"/>
                <w:lang w:val="en-US" w:eastAsia="zh-CN"/>
              </w:rPr>
              <w:t>5</w:t>
            </w:r>
          </w:p>
        </w:tc>
        <w:tc>
          <w:tcPr>
            <w:tcW w:w="4079" w:type="dxa"/>
            <w:gridSpan w:val="2"/>
            <w:tcBorders>
              <w:top w:val="single" w:color="auto" w:sz="4" w:space="0"/>
              <w:left w:val="single" w:color="auto" w:sz="4" w:space="0"/>
              <w:right w:val="single" w:color="auto" w:sz="4" w:space="0"/>
            </w:tcBorders>
            <w:vAlign w:val="bottom"/>
          </w:tcPr>
          <w:p>
            <w:pPr>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TBS镀锌网防护(含土工布、植草、镀锌网含于单价中，不另计）</w:t>
            </w:r>
          </w:p>
          <w:p>
            <w:pPr>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坡面喷射8cmTBS镀锌网防护</w:t>
            </w:r>
          </w:p>
          <w:p>
            <w:pPr>
              <w:pStyle w:val="15"/>
              <w:jc w:val="center"/>
              <w:rPr>
                <w:kern w:val="2"/>
                <w:sz w:val="24"/>
                <w:szCs w:val="24"/>
              </w:rPr>
            </w:pPr>
          </w:p>
        </w:tc>
        <w:tc>
          <w:tcPr>
            <w:tcW w:w="716" w:type="dxa"/>
            <w:tcBorders>
              <w:top w:val="single" w:color="auto" w:sz="4" w:space="0"/>
              <w:left w:val="single" w:color="auto" w:sz="4" w:space="0"/>
              <w:bottom w:val="single" w:color="auto" w:sz="4" w:space="0"/>
              <w:right w:val="single" w:color="auto" w:sz="4" w:space="0"/>
            </w:tcBorders>
            <w:vAlign w:val="center"/>
          </w:tcPr>
          <w:p>
            <w:pPr>
              <w:pStyle w:val="15"/>
              <w:jc w:val="center"/>
              <w:rPr>
                <w:kern w:val="2"/>
                <w:sz w:val="24"/>
                <w:szCs w:val="24"/>
              </w:rPr>
            </w:pPr>
            <w:r>
              <w:rPr>
                <w:rFonts w:hint="eastAsia" w:asciiTheme="minorEastAsia" w:hAnsiTheme="minorEastAsia" w:eastAsiaTheme="minorEastAsia" w:cstheme="minorEastAsia"/>
                <w:kern w:val="0"/>
                <w:sz w:val="24"/>
                <w:szCs w:val="24"/>
                <w:lang w:val="en-US" w:eastAsia="zh-CN" w:bidi="ar-SA"/>
              </w:rPr>
              <w:t>m</w:t>
            </w:r>
            <w:r>
              <w:rPr>
                <w:rFonts w:hint="eastAsia" w:asciiTheme="minorEastAsia" w:hAnsiTheme="minorEastAsia" w:eastAsiaTheme="minorEastAsia" w:cstheme="minorEastAsia"/>
                <w:kern w:val="0"/>
                <w:sz w:val="24"/>
                <w:szCs w:val="24"/>
                <w:vertAlign w:val="superscript"/>
                <w:lang w:val="en-US" w:eastAsia="zh-CN" w:bidi="ar-SA"/>
              </w:rPr>
              <w:t>2</w:t>
            </w:r>
          </w:p>
        </w:tc>
        <w:tc>
          <w:tcPr>
            <w:tcW w:w="942" w:type="dxa"/>
            <w:tcBorders>
              <w:top w:val="single" w:color="auto" w:sz="4" w:space="0"/>
              <w:left w:val="single" w:color="auto" w:sz="4" w:space="0"/>
              <w:bottom w:val="single" w:color="auto" w:sz="4" w:space="0"/>
              <w:right w:val="single" w:color="auto" w:sz="4" w:space="0"/>
            </w:tcBorders>
            <w:vAlign w:val="center"/>
          </w:tcPr>
          <w:p>
            <w:pPr>
              <w:pStyle w:val="15"/>
              <w:jc w:val="center"/>
              <w:rPr>
                <w:kern w:val="2"/>
                <w:sz w:val="24"/>
                <w:szCs w:val="24"/>
              </w:rPr>
            </w:pPr>
            <w:r>
              <w:rPr>
                <w:rFonts w:hint="eastAsia" w:asciiTheme="minorEastAsia" w:hAnsiTheme="minorEastAsia" w:eastAsiaTheme="minorEastAsia" w:cstheme="minorEastAsia"/>
                <w:kern w:val="0"/>
                <w:sz w:val="18"/>
                <w:szCs w:val="18"/>
                <w:lang w:val="en-US" w:eastAsia="zh-CN" w:bidi="ar-SA"/>
              </w:rPr>
              <w:t>17601.0</w:t>
            </w:r>
          </w:p>
        </w:tc>
        <w:tc>
          <w:tcPr>
            <w:tcW w:w="1305" w:type="dxa"/>
            <w:tcBorders>
              <w:top w:val="single" w:color="auto" w:sz="4" w:space="0"/>
              <w:left w:val="single" w:color="auto" w:sz="4" w:space="0"/>
              <w:bottom w:val="single" w:color="auto" w:sz="4" w:space="0"/>
              <w:right w:val="single" w:color="auto" w:sz="4" w:space="0"/>
            </w:tcBorders>
          </w:tcPr>
          <w:p>
            <w:pPr>
              <w:pStyle w:val="15"/>
              <w:rPr>
                <w:kern w:val="2"/>
                <w:sz w:val="24"/>
                <w:szCs w:val="24"/>
              </w:rPr>
            </w:pPr>
          </w:p>
        </w:tc>
        <w:tc>
          <w:tcPr>
            <w:tcW w:w="1039" w:type="dxa"/>
            <w:tcBorders>
              <w:top w:val="single" w:color="auto" w:sz="4" w:space="0"/>
              <w:left w:val="single" w:color="auto" w:sz="4" w:space="0"/>
              <w:bottom w:val="single" w:color="auto" w:sz="4" w:space="0"/>
              <w:right w:val="single" w:color="auto" w:sz="4" w:space="0"/>
            </w:tcBorders>
          </w:tcPr>
          <w:p>
            <w:pPr>
              <w:pStyle w:val="15"/>
              <w:ind w:right="-6" w:rightChars="-3"/>
              <w:rPr>
                <w:kern w:val="2"/>
                <w:sz w:val="24"/>
                <w:szCs w:val="24"/>
              </w:rPr>
            </w:pPr>
          </w:p>
        </w:tc>
        <w:tc>
          <w:tcPr>
            <w:tcW w:w="1166" w:type="dxa"/>
            <w:tcBorders>
              <w:top w:val="single" w:color="auto" w:sz="4" w:space="0"/>
              <w:left w:val="single" w:color="auto" w:sz="4" w:space="0"/>
              <w:bottom w:val="single" w:color="auto" w:sz="4" w:space="0"/>
              <w:right w:val="single" w:color="auto" w:sz="4" w:space="0"/>
            </w:tcBorders>
            <w:vAlign w:val="center"/>
          </w:tcPr>
          <w:p>
            <w:pPr>
              <w:pStyle w:val="15"/>
              <w:jc w:val="both"/>
              <w:rPr>
                <w:rFonts w:hint="eastAsia" w:eastAsia="宋体"/>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eastAsia="宋体"/>
                <w:kern w:val="2"/>
                <w:lang w:val="en-US" w:eastAsia="zh-CN"/>
              </w:rPr>
            </w:pPr>
            <w:r>
              <w:rPr>
                <w:rFonts w:hint="eastAsia"/>
                <w:kern w:val="2"/>
                <w:lang w:val="en-US" w:eastAsia="zh-CN"/>
              </w:rPr>
              <w:t>6</w:t>
            </w:r>
          </w:p>
        </w:tc>
        <w:tc>
          <w:tcPr>
            <w:tcW w:w="407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TBS镀锌网防护(含土工布、植草、镀锌网含于单价中，不另计）</w:t>
            </w:r>
          </w:p>
          <w:p>
            <w:pPr>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坡面喷射9cmTBS镀锌网防护</w:t>
            </w:r>
          </w:p>
          <w:p>
            <w:pPr>
              <w:pStyle w:val="15"/>
              <w:jc w:val="center"/>
              <w:rPr>
                <w:kern w:val="2"/>
                <w:sz w:val="24"/>
                <w:szCs w:val="24"/>
              </w:rPr>
            </w:pPr>
          </w:p>
        </w:tc>
        <w:tc>
          <w:tcPr>
            <w:tcW w:w="716" w:type="dxa"/>
            <w:tcBorders>
              <w:top w:val="single" w:color="auto" w:sz="4" w:space="0"/>
              <w:left w:val="single" w:color="auto" w:sz="4" w:space="0"/>
              <w:bottom w:val="single" w:color="auto" w:sz="4" w:space="0"/>
              <w:right w:val="single" w:color="auto" w:sz="4" w:space="0"/>
            </w:tcBorders>
            <w:vAlign w:val="center"/>
          </w:tcPr>
          <w:p>
            <w:pPr>
              <w:pStyle w:val="15"/>
              <w:jc w:val="center"/>
              <w:rPr>
                <w:kern w:val="2"/>
                <w:sz w:val="24"/>
                <w:szCs w:val="24"/>
              </w:rPr>
            </w:pPr>
            <w:r>
              <w:rPr>
                <w:rFonts w:hint="eastAsia" w:asciiTheme="minorEastAsia" w:hAnsiTheme="minorEastAsia" w:eastAsiaTheme="minorEastAsia" w:cstheme="minorEastAsia"/>
                <w:kern w:val="0"/>
                <w:sz w:val="24"/>
                <w:szCs w:val="24"/>
                <w:lang w:val="en-US" w:eastAsia="zh-CN" w:bidi="ar-SA"/>
              </w:rPr>
              <w:t>m</w:t>
            </w:r>
            <w:r>
              <w:rPr>
                <w:rFonts w:hint="eastAsia" w:asciiTheme="minorEastAsia" w:hAnsiTheme="minorEastAsia" w:eastAsiaTheme="minorEastAsia" w:cstheme="minorEastAsia"/>
                <w:kern w:val="0"/>
                <w:sz w:val="24"/>
                <w:szCs w:val="24"/>
                <w:vertAlign w:val="superscript"/>
                <w:lang w:val="en-US" w:eastAsia="zh-CN" w:bidi="ar-SA"/>
              </w:rPr>
              <w:t>2</w:t>
            </w:r>
          </w:p>
        </w:tc>
        <w:tc>
          <w:tcPr>
            <w:tcW w:w="942" w:type="dxa"/>
            <w:tcBorders>
              <w:top w:val="single" w:color="auto" w:sz="4" w:space="0"/>
              <w:left w:val="single" w:color="auto" w:sz="4" w:space="0"/>
              <w:bottom w:val="single" w:color="auto" w:sz="4" w:space="0"/>
              <w:right w:val="single" w:color="auto" w:sz="4" w:space="0"/>
            </w:tcBorders>
            <w:vAlign w:val="center"/>
          </w:tcPr>
          <w:p>
            <w:pPr>
              <w:pStyle w:val="15"/>
              <w:jc w:val="center"/>
              <w:rPr>
                <w:kern w:val="2"/>
                <w:sz w:val="24"/>
                <w:szCs w:val="24"/>
              </w:rPr>
            </w:pPr>
            <w:r>
              <w:rPr>
                <w:rFonts w:hint="eastAsia" w:asciiTheme="minorEastAsia" w:hAnsiTheme="minorEastAsia" w:eastAsiaTheme="minorEastAsia" w:cstheme="minorEastAsia"/>
                <w:kern w:val="0"/>
                <w:sz w:val="18"/>
                <w:szCs w:val="18"/>
                <w:lang w:val="en-US" w:eastAsia="zh-CN" w:bidi="ar-SA"/>
              </w:rPr>
              <w:t>22415.4</w:t>
            </w:r>
          </w:p>
        </w:tc>
        <w:tc>
          <w:tcPr>
            <w:tcW w:w="1305" w:type="dxa"/>
            <w:tcBorders>
              <w:top w:val="single" w:color="auto" w:sz="4" w:space="0"/>
              <w:left w:val="single" w:color="auto" w:sz="4" w:space="0"/>
              <w:bottom w:val="single" w:color="auto" w:sz="4" w:space="0"/>
              <w:right w:val="single" w:color="auto" w:sz="4" w:space="0"/>
            </w:tcBorders>
          </w:tcPr>
          <w:p>
            <w:pPr>
              <w:pStyle w:val="15"/>
              <w:rPr>
                <w:kern w:val="2"/>
                <w:sz w:val="24"/>
                <w:szCs w:val="24"/>
              </w:rPr>
            </w:pPr>
          </w:p>
        </w:tc>
        <w:tc>
          <w:tcPr>
            <w:tcW w:w="1039" w:type="dxa"/>
            <w:tcBorders>
              <w:top w:val="single" w:color="auto" w:sz="4" w:space="0"/>
              <w:left w:val="single" w:color="auto" w:sz="4" w:space="0"/>
              <w:bottom w:val="single" w:color="auto" w:sz="4" w:space="0"/>
              <w:right w:val="single" w:color="auto" w:sz="4" w:space="0"/>
            </w:tcBorders>
          </w:tcPr>
          <w:p>
            <w:pPr>
              <w:pStyle w:val="15"/>
              <w:ind w:right="-6" w:rightChars="-3"/>
              <w:rPr>
                <w:kern w:val="2"/>
                <w:sz w:val="24"/>
                <w:szCs w:val="24"/>
              </w:rPr>
            </w:pPr>
          </w:p>
        </w:tc>
        <w:tc>
          <w:tcPr>
            <w:tcW w:w="1166" w:type="dxa"/>
            <w:tcBorders>
              <w:top w:val="single" w:color="auto" w:sz="4" w:space="0"/>
              <w:left w:val="single" w:color="auto" w:sz="4" w:space="0"/>
              <w:bottom w:val="single" w:color="auto" w:sz="4" w:space="0"/>
              <w:right w:val="single" w:color="auto" w:sz="4" w:space="0"/>
            </w:tcBorders>
            <w:vAlign w:val="center"/>
          </w:tcPr>
          <w:p>
            <w:pPr>
              <w:pStyle w:val="15"/>
              <w:jc w:val="both"/>
              <w:rPr>
                <w:rFonts w:hint="eastAsia" w:eastAsia="宋体"/>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kern w:val="2"/>
                <w:lang w:val="en-US" w:eastAsia="zh-CN"/>
              </w:rPr>
            </w:pPr>
            <w:r>
              <w:rPr>
                <w:rFonts w:hint="eastAsia"/>
                <w:kern w:val="2"/>
                <w:lang w:val="en-US" w:eastAsia="zh-CN"/>
              </w:rPr>
              <w:t>7</w:t>
            </w:r>
          </w:p>
        </w:tc>
        <w:tc>
          <w:tcPr>
            <w:tcW w:w="4079" w:type="dxa"/>
            <w:gridSpan w:val="2"/>
            <w:tcBorders>
              <w:top w:val="single" w:color="auto" w:sz="4" w:space="0"/>
              <w:left w:val="single" w:color="auto" w:sz="4" w:space="0"/>
              <w:bottom w:val="single" w:color="auto" w:sz="4" w:space="0"/>
              <w:right w:val="single" w:color="auto" w:sz="4" w:space="0"/>
            </w:tcBorders>
            <w:vAlign w:val="center"/>
          </w:tcPr>
          <w:p>
            <w:pPr>
              <w:pStyle w:val="15"/>
              <w:jc w:val="center"/>
              <w:rPr>
                <w:kern w:val="2"/>
                <w:sz w:val="24"/>
                <w:szCs w:val="24"/>
              </w:rPr>
            </w:pPr>
            <w:r>
              <w:rPr>
                <w:rFonts w:hint="eastAsia"/>
                <w:kern w:val="2"/>
                <w:sz w:val="24"/>
                <w:szCs w:val="24"/>
              </w:rPr>
              <w:t>马尼拉草皮</w:t>
            </w:r>
          </w:p>
        </w:tc>
        <w:tc>
          <w:tcPr>
            <w:tcW w:w="71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w:t>
            </w:r>
          </w:p>
        </w:tc>
        <w:tc>
          <w:tcPr>
            <w:tcW w:w="94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12233</w:t>
            </w:r>
          </w:p>
        </w:tc>
        <w:tc>
          <w:tcPr>
            <w:tcW w:w="1305" w:type="dxa"/>
            <w:tcBorders>
              <w:top w:val="single" w:color="auto" w:sz="4" w:space="0"/>
              <w:left w:val="single" w:color="auto" w:sz="4" w:space="0"/>
              <w:bottom w:val="single" w:color="auto" w:sz="4" w:space="0"/>
              <w:right w:val="single" w:color="auto" w:sz="4" w:space="0"/>
            </w:tcBorders>
          </w:tcPr>
          <w:p>
            <w:pPr>
              <w:pStyle w:val="15"/>
              <w:rPr>
                <w:kern w:val="2"/>
                <w:sz w:val="24"/>
                <w:szCs w:val="24"/>
              </w:rPr>
            </w:pPr>
          </w:p>
        </w:tc>
        <w:tc>
          <w:tcPr>
            <w:tcW w:w="1039" w:type="dxa"/>
            <w:tcBorders>
              <w:top w:val="single" w:color="auto" w:sz="4" w:space="0"/>
              <w:left w:val="single" w:color="auto" w:sz="4" w:space="0"/>
              <w:bottom w:val="single" w:color="auto" w:sz="4" w:space="0"/>
              <w:right w:val="single" w:color="auto" w:sz="4" w:space="0"/>
            </w:tcBorders>
          </w:tcPr>
          <w:p>
            <w:pPr>
              <w:pStyle w:val="15"/>
              <w:ind w:right="-6" w:rightChars="-3"/>
              <w:rPr>
                <w:kern w:val="2"/>
                <w:sz w:val="24"/>
                <w:szCs w:val="24"/>
              </w:rPr>
            </w:pPr>
          </w:p>
        </w:tc>
        <w:tc>
          <w:tcPr>
            <w:tcW w:w="1166" w:type="dxa"/>
            <w:tcBorders>
              <w:top w:val="single" w:color="auto" w:sz="4" w:space="0"/>
              <w:left w:val="single" w:color="auto" w:sz="4" w:space="0"/>
              <w:bottom w:val="single" w:color="auto" w:sz="4" w:space="0"/>
              <w:right w:val="single" w:color="auto" w:sz="4" w:space="0"/>
            </w:tcBorders>
            <w:vAlign w:val="center"/>
          </w:tcPr>
          <w:p>
            <w:pPr>
              <w:pStyle w:val="15"/>
              <w:rPr>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kern w:val="2"/>
                <w:lang w:val="en-US" w:eastAsia="zh-CN"/>
              </w:rPr>
            </w:pPr>
            <w:r>
              <w:rPr>
                <w:rFonts w:hint="eastAsia"/>
                <w:kern w:val="2"/>
                <w:lang w:val="en-US" w:eastAsia="zh-CN"/>
              </w:rPr>
              <w:t>8</w:t>
            </w:r>
          </w:p>
        </w:tc>
        <w:tc>
          <w:tcPr>
            <w:tcW w:w="4079" w:type="dxa"/>
            <w:gridSpan w:val="2"/>
            <w:tcBorders>
              <w:top w:val="single" w:color="auto" w:sz="4" w:space="0"/>
              <w:left w:val="single" w:color="auto" w:sz="4" w:space="0"/>
              <w:bottom w:val="single" w:color="auto" w:sz="4" w:space="0"/>
              <w:right w:val="single" w:color="auto" w:sz="4" w:space="0"/>
            </w:tcBorders>
            <w:vAlign w:val="center"/>
          </w:tcPr>
          <w:p>
            <w:pPr>
              <w:pStyle w:val="15"/>
              <w:jc w:val="center"/>
              <w:rPr>
                <w:kern w:val="2"/>
                <w:sz w:val="24"/>
                <w:szCs w:val="24"/>
              </w:rPr>
            </w:pPr>
            <w:r>
              <w:rPr>
                <w:rFonts w:hint="eastAsia"/>
                <w:kern w:val="2"/>
                <w:sz w:val="24"/>
                <w:szCs w:val="24"/>
              </w:rPr>
              <w:t>羊蹄甲(胸径Φ8-9cm，高度3m，冠幅1.4m以上）</w:t>
            </w:r>
          </w:p>
        </w:tc>
        <w:tc>
          <w:tcPr>
            <w:tcW w:w="71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株</w:t>
            </w:r>
          </w:p>
        </w:tc>
        <w:tc>
          <w:tcPr>
            <w:tcW w:w="94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957</w:t>
            </w:r>
          </w:p>
        </w:tc>
        <w:tc>
          <w:tcPr>
            <w:tcW w:w="1305" w:type="dxa"/>
            <w:tcBorders>
              <w:top w:val="single" w:color="auto" w:sz="4" w:space="0"/>
              <w:left w:val="single" w:color="auto" w:sz="4" w:space="0"/>
              <w:bottom w:val="single" w:color="auto" w:sz="4" w:space="0"/>
              <w:right w:val="single" w:color="auto" w:sz="4" w:space="0"/>
            </w:tcBorders>
          </w:tcPr>
          <w:p>
            <w:pPr>
              <w:pStyle w:val="15"/>
              <w:rPr>
                <w:kern w:val="2"/>
                <w:sz w:val="24"/>
                <w:szCs w:val="24"/>
              </w:rPr>
            </w:pPr>
          </w:p>
        </w:tc>
        <w:tc>
          <w:tcPr>
            <w:tcW w:w="1039" w:type="dxa"/>
            <w:tcBorders>
              <w:top w:val="single" w:color="auto" w:sz="4" w:space="0"/>
              <w:left w:val="single" w:color="auto" w:sz="4" w:space="0"/>
              <w:bottom w:val="single" w:color="auto" w:sz="4" w:space="0"/>
              <w:right w:val="single" w:color="auto" w:sz="4" w:space="0"/>
            </w:tcBorders>
          </w:tcPr>
          <w:p>
            <w:pPr>
              <w:pStyle w:val="15"/>
              <w:ind w:right="-6" w:rightChars="-3"/>
              <w:rPr>
                <w:kern w:val="2"/>
                <w:sz w:val="24"/>
                <w:szCs w:val="24"/>
              </w:rPr>
            </w:pPr>
          </w:p>
        </w:tc>
        <w:tc>
          <w:tcPr>
            <w:tcW w:w="1166" w:type="dxa"/>
            <w:tcBorders>
              <w:top w:val="single" w:color="auto" w:sz="4" w:space="0"/>
              <w:left w:val="single" w:color="auto" w:sz="4" w:space="0"/>
              <w:bottom w:val="single" w:color="auto" w:sz="4" w:space="0"/>
              <w:right w:val="single" w:color="auto" w:sz="4" w:space="0"/>
            </w:tcBorders>
            <w:vAlign w:val="center"/>
          </w:tcPr>
          <w:p>
            <w:pPr>
              <w:pStyle w:val="15"/>
              <w:rPr>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kern w:val="2"/>
                <w:lang w:val="en-US" w:eastAsia="zh-CN"/>
              </w:rPr>
            </w:pPr>
            <w:r>
              <w:rPr>
                <w:rFonts w:hint="eastAsia"/>
                <w:kern w:val="2"/>
                <w:lang w:val="en-US" w:eastAsia="zh-CN"/>
              </w:rPr>
              <w:t>9</w:t>
            </w:r>
          </w:p>
        </w:tc>
        <w:tc>
          <w:tcPr>
            <w:tcW w:w="4079" w:type="dxa"/>
            <w:gridSpan w:val="2"/>
            <w:tcBorders>
              <w:top w:val="single" w:color="auto" w:sz="4" w:space="0"/>
              <w:left w:val="single" w:color="auto" w:sz="4" w:space="0"/>
              <w:bottom w:val="single" w:color="auto" w:sz="4" w:space="0"/>
              <w:right w:val="single" w:color="auto" w:sz="4" w:space="0"/>
            </w:tcBorders>
            <w:vAlign w:val="center"/>
          </w:tcPr>
          <w:p>
            <w:pPr>
              <w:pStyle w:val="15"/>
              <w:jc w:val="center"/>
              <w:rPr>
                <w:kern w:val="2"/>
                <w:sz w:val="24"/>
                <w:szCs w:val="24"/>
              </w:rPr>
            </w:pPr>
            <w:r>
              <w:rPr>
                <w:rFonts w:hint="eastAsia"/>
                <w:kern w:val="2"/>
                <w:sz w:val="24"/>
                <w:szCs w:val="24"/>
              </w:rPr>
              <w:t>四季桂(地径5cm，高度2m，冠幅0.9m以上）</w:t>
            </w:r>
          </w:p>
        </w:tc>
        <w:tc>
          <w:tcPr>
            <w:tcW w:w="71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株</w:t>
            </w:r>
          </w:p>
        </w:tc>
        <w:tc>
          <w:tcPr>
            <w:tcW w:w="94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1694</w:t>
            </w:r>
          </w:p>
        </w:tc>
        <w:tc>
          <w:tcPr>
            <w:tcW w:w="1305" w:type="dxa"/>
            <w:tcBorders>
              <w:top w:val="single" w:color="auto" w:sz="4" w:space="0"/>
              <w:left w:val="single" w:color="auto" w:sz="4" w:space="0"/>
              <w:bottom w:val="single" w:color="auto" w:sz="4" w:space="0"/>
              <w:right w:val="single" w:color="auto" w:sz="4" w:space="0"/>
            </w:tcBorders>
          </w:tcPr>
          <w:p>
            <w:pPr>
              <w:pStyle w:val="15"/>
              <w:rPr>
                <w:kern w:val="2"/>
                <w:sz w:val="24"/>
                <w:szCs w:val="24"/>
              </w:rPr>
            </w:pPr>
          </w:p>
        </w:tc>
        <w:tc>
          <w:tcPr>
            <w:tcW w:w="1039" w:type="dxa"/>
            <w:tcBorders>
              <w:top w:val="single" w:color="auto" w:sz="4" w:space="0"/>
              <w:left w:val="single" w:color="auto" w:sz="4" w:space="0"/>
              <w:bottom w:val="single" w:color="auto" w:sz="4" w:space="0"/>
              <w:right w:val="single" w:color="auto" w:sz="4" w:space="0"/>
            </w:tcBorders>
          </w:tcPr>
          <w:p>
            <w:pPr>
              <w:pStyle w:val="15"/>
              <w:ind w:right="-6" w:rightChars="-3"/>
              <w:rPr>
                <w:kern w:val="2"/>
                <w:sz w:val="24"/>
                <w:szCs w:val="24"/>
              </w:rPr>
            </w:pPr>
          </w:p>
        </w:tc>
        <w:tc>
          <w:tcPr>
            <w:tcW w:w="1166" w:type="dxa"/>
            <w:tcBorders>
              <w:top w:val="single" w:color="auto" w:sz="4" w:space="0"/>
              <w:left w:val="single" w:color="auto" w:sz="4" w:space="0"/>
              <w:bottom w:val="single" w:color="auto" w:sz="4" w:space="0"/>
              <w:right w:val="single" w:color="auto" w:sz="4" w:space="0"/>
            </w:tcBorders>
            <w:vAlign w:val="center"/>
          </w:tcPr>
          <w:p>
            <w:pPr>
              <w:pStyle w:val="15"/>
              <w:rPr>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kern w:val="2"/>
                <w:lang w:val="en-US" w:eastAsia="zh-CN"/>
              </w:rPr>
            </w:pPr>
            <w:r>
              <w:rPr>
                <w:rFonts w:hint="eastAsia"/>
                <w:kern w:val="2"/>
                <w:lang w:val="en-US" w:eastAsia="zh-CN"/>
              </w:rPr>
              <w:t>10</w:t>
            </w:r>
          </w:p>
        </w:tc>
        <w:tc>
          <w:tcPr>
            <w:tcW w:w="4079" w:type="dxa"/>
            <w:gridSpan w:val="2"/>
            <w:tcBorders>
              <w:top w:val="single" w:color="auto" w:sz="4" w:space="0"/>
              <w:left w:val="single" w:color="auto" w:sz="4" w:space="0"/>
              <w:bottom w:val="single" w:color="auto" w:sz="4" w:space="0"/>
              <w:right w:val="single" w:color="auto" w:sz="4" w:space="0"/>
            </w:tcBorders>
            <w:vAlign w:val="center"/>
          </w:tcPr>
          <w:p>
            <w:pPr>
              <w:pStyle w:val="15"/>
              <w:jc w:val="center"/>
              <w:rPr>
                <w:kern w:val="2"/>
                <w:sz w:val="24"/>
                <w:szCs w:val="24"/>
              </w:rPr>
            </w:pPr>
            <w:r>
              <w:rPr>
                <w:rFonts w:hint="eastAsia"/>
                <w:kern w:val="2"/>
                <w:sz w:val="24"/>
                <w:szCs w:val="24"/>
              </w:rPr>
              <w:t>垂叶榕(胸径Φ8-9cm，高度2m，冠幅0.9m以上）</w:t>
            </w:r>
          </w:p>
        </w:tc>
        <w:tc>
          <w:tcPr>
            <w:tcW w:w="71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株</w:t>
            </w:r>
          </w:p>
        </w:tc>
        <w:tc>
          <w:tcPr>
            <w:tcW w:w="94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957</w:t>
            </w:r>
          </w:p>
        </w:tc>
        <w:tc>
          <w:tcPr>
            <w:tcW w:w="1305" w:type="dxa"/>
            <w:tcBorders>
              <w:top w:val="single" w:color="auto" w:sz="4" w:space="0"/>
              <w:left w:val="single" w:color="auto" w:sz="4" w:space="0"/>
              <w:bottom w:val="single" w:color="auto" w:sz="4" w:space="0"/>
              <w:right w:val="single" w:color="auto" w:sz="4" w:space="0"/>
            </w:tcBorders>
          </w:tcPr>
          <w:p>
            <w:pPr>
              <w:pStyle w:val="15"/>
              <w:rPr>
                <w:kern w:val="2"/>
                <w:sz w:val="24"/>
                <w:szCs w:val="24"/>
              </w:rPr>
            </w:pPr>
          </w:p>
        </w:tc>
        <w:tc>
          <w:tcPr>
            <w:tcW w:w="1039" w:type="dxa"/>
            <w:tcBorders>
              <w:top w:val="single" w:color="auto" w:sz="4" w:space="0"/>
              <w:left w:val="single" w:color="auto" w:sz="4" w:space="0"/>
              <w:bottom w:val="single" w:color="auto" w:sz="4" w:space="0"/>
              <w:right w:val="single" w:color="auto" w:sz="4" w:space="0"/>
            </w:tcBorders>
          </w:tcPr>
          <w:p>
            <w:pPr>
              <w:pStyle w:val="15"/>
              <w:ind w:right="-6" w:rightChars="-3"/>
              <w:rPr>
                <w:kern w:val="2"/>
                <w:sz w:val="24"/>
                <w:szCs w:val="24"/>
              </w:rPr>
            </w:pPr>
          </w:p>
        </w:tc>
        <w:tc>
          <w:tcPr>
            <w:tcW w:w="1166" w:type="dxa"/>
            <w:tcBorders>
              <w:top w:val="single" w:color="auto" w:sz="4" w:space="0"/>
              <w:left w:val="single" w:color="auto" w:sz="4" w:space="0"/>
              <w:bottom w:val="single" w:color="auto" w:sz="4" w:space="0"/>
              <w:right w:val="single" w:color="auto" w:sz="4" w:space="0"/>
            </w:tcBorders>
            <w:vAlign w:val="center"/>
          </w:tcPr>
          <w:p>
            <w:pPr>
              <w:pStyle w:val="15"/>
              <w:rPr>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kern w:val="2"/>
                <w:lang w:val="en-US" w:eastAsia="zh-CN"/>
              </w:rPr>
            </w:pPr>
            <w:r>
              <w:rPr>
                <w:rFonts w:hint="eastAsia"/>
                <w:kern w:val="2"/>
                <w:lang w:val="en-US" w:eastAsia="zh-CN"/>
              </w:rPr>
              <w:t>11</w:t>
            </w:r>
          </w:p>
        </w:tc>
        <w:tc>
          <w:tcPr>
            <w:tcW w:w="4079" w:type="dxa"/>
            <w:gridSpan w:val="2"/>
            <w:tcBorders>
              <w:top w:val="single" w:color="auto" w:sz="4" w:space="0"/>
              <w:left w:val="single" w:color="auto" w:sz="4" w:space="0"/>
              <w:bottom w:val="single" w:color="auto" w:sz="4" w:space="0"/>
              <w:right w:val="single" w:color="auto" w:sz="4" w:space="0"/>
            </w:tcBorders>
            <w:vAlign w:val="center"/>
          </w:tcPr>
          <w:p>
            <w:pPr>
              <w:pStyle w:val="15"/>
              <w:jc w:val="center"/>
              <w:rPr>
                <w:kern w:val="2"/>
                <w:sz w:val="24"/>
                <w:szCs w:val="24"/>
              </w:rPr>
            </w:pPr>
            <w:r>
              <w:rPr>
                <w:rFonts w:hint="eastAsia"/>
                <w:kern w:val="2"/>
                <w:sz w:val="24"/>
                <w:szCs w:val="24"/>
              </w:rPr>
              <w:t>黄花槐(胸径Φ3-4cm，高度1.5m，冠幅0.6m以上）</w:t>
            </w:r>
          </w:p>
        </w:tc>
        <w:tc>
          <w:tcPr>
            <w:tcW w:w="71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株</w:t>
            </w:r>
          </w:p>
        </w:tc>
        <w:tc>
          <w:tcPr>
            <w:tcW w:w="94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758</w:t>
            </w:r>
          </w:p>
        </w:tc>
        <w:tc>
          <w:tcPr>
            <w:tcW w:w="1305" w:type="dxa"/>
            <w:tcBorders>
              <w:top w:val="single" w:color="auto" w:sz="4" w:space="0"/>
              <w:left w:val="single" w:color="auto" w:sz="4" w:space="0"/>
              <w:bottom w:val="single" w:color="auto" w:sz="4" w:space="0"/>
              <w:right w:val="single" w:color="auto" w:sz="4" w:space="0"/>
            </w:tcBorders>
          </w:tcPr>
          <w:p>
            <w:pPr>
              <w:pStyle w:val="15"/>
              <w:rPr>
                <w:kern w:val="2"/>
                <w:sz w:val="24"/>
                <w:szCs w:val="24"/>
              </w:rPr>
            </w:pPr>
          </w:p>
        </w:tc>
        <w:tc>
          <w:tcPr>
            <w:tcW w:w="1039" w:type="dxa"/>
            <w:tcBorders>
              <w:top w:val="single" w:color="auto" w:sz="4" w:space="0"/>
              <w:left w:val="single" w:color="auto" w:sz="4" w:space="0"/>
              <w:bottom w:val="single" w:color="auto" w:sz="4" w:space="0"/>
              <w:right w:val="single" w:color="auto" w:sz="4" w:space="0"/>
            </w:tcBorders>
          </w:tcPr>
          <w:p>
            <w:pPr>
              <w:pStyle w:val="15"/>
              <w:ind w:right="-6" w:rightChars="-3"/>
              <w:rPr>
                <w:kern w:val="2"/>
                <w:sz w:val="24"/>
                <w:szCs w:val="24"/>
              </w:rPr>
            </w:pPr>
          </w:p>
        </w:tc>
        <w:tc>
          <w:tcPr>
            <w:tcW w:w="1166" w:type="dxa"/>
            <w:tcBorders>
              <w:top w:val="single" w:color="auto" w:sz="4" w:space="0"/>
              <w:left w:val="single" w:color="auto" w:sz="4" w:space="0"/>
              <w:bottom w:val="single" w:color="auto" w:sz="4" w:space="0"/>
              <w:right w:val="single" w:color="auto" w:sz="4" w:space="0"/>
            </w:tcBorders>
            <w:vAlign w:val="center"/>
          </w:tcPr>
          <w:p>
            <w:pPr>
              <w:pStyle w:val="15"/>
              <w:rPr>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kern w:val="2"/>
                <w:lang w:val="en-US" w:eastAsia="zh-CN"/>
              </w:rPr>
            </w:pPr>
            <w:r>
              <w:rPr>
                <w:rFonts w:hint="eastAsia"/>
                <w:kern w:val="2"/>
                <w:lang w:val="en-US" w:eastAsia="zh-CN"/>
              </w:rPr>
              <w:t>12</w:t>
            </w:r>
          </w:p>
        </w:tc>
        <w:tc>
          <w:tcPr>
            <w:tcW w:w="4079" w:type="dxa"/>
            <w:gridSpan w:val="2"/>
            <w:tcBorders>
              <w:top w:val="single" w:color="auto" w:sz="4" w:space="0"/>
              <w:left w:val="single" w:color="auto" w:sz="4" w:space="0"/>
              <w:bottom w:val="single" w:color="auto" w:sz="4" w:space="0"/>
              <w:right w:val="single" w:color="auto" w:sz="4" w:space="0"/>
            </w:tcBorders>
            <w:vAlign w:val="center"/>
          </w:tcPr>
          <w:p>
            <w:pPr>
              <w:pStyle w:val="15"/>
              <w:jc w:val="center"/>
              <w:rPr>
                <w:kern w:val="2"/>
                <w:sz w:val="24"/>
                <w:szCs w:val="24"/>
              </w:rPr>
            </w:pPr>
            <w:r>
              <w:rPr>
                <w:rFonts w:hint="eastAsia"/>
                <w:kern w:val="2"/>
                <w:sz w:val="24"/>
                <w:szCs w:val="24"/>
              </w:rPr>
              <w:t>樟树(胸径Φ9-10cm，高度3m，冠幅1.5m以上）</w:t>
            </w:r>
          </w:p>
        </w:tc>
        <w:tc>
          <w:tcPr>
            <w:tcW w:w="71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株</w:t>
            </w:r>
          </w:p>
        </w:tc>
        <w:tc>
          <w:tcPr>
            <w:tcW w:w="94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758</w:t>
            </w:r>
          </w:p>
        </w:tc>
        <w:tc>
          <w:tcPr>
            <w:tcW w:w="1305" w:type="dxa"/>
            <w:tcBorders>
              <w:top w:val="single" w:color="auto" w:sz="4" w:space="0"/>
              <w:left w:val="single" w:color="auto" w:sz="4" w:space="0"/>
              <w:bottom w:val="single" w:color="auto" w:sz="4" w:space="0"/>
              <w:right w:val="single" w:color="auto" w:sz="4" w:space="0"/>
            </w:tcBorders>
          </w:tcPr>
          <w:p>
            <w:pPr>
              <w:pStyle w:val="15"/>
              <w:rPr>
                <w:kern w:val="2"/>
                <w:sz w:val="24"/>
                <w:szCs w:val="24"/>
              </w:rPr>
            </w:pPr>
          </w:p>
        </w:tc>
        <w:tc>
          <w:tcPr>
            <w:tcW w:w="1039" w:type="dxa"/>
            <w:tcBorders>
              <w:top w:val="single" w:color="auto" w:sz="4" w:space="0"/>
              <w:left w:val="single" w:color="auto" w:sz="4" w:space="0"/>
              <w:bottom w:val="single" w:color="auto" w:sz="4" w:space="0"/>
              <w:right w:val="single" w:color="auto" w:sz="4" w:space="0"/>
            </w:tcBorders>
          </w:tcPr>
          <w:p>
            <w:pPr>
              <w:pStyle w:val="15"/>
              <w:ind w:right="-6" w:rightChars="-3"/>
              <w:rPr>
                <w:kern w:val="2"/>
                <w:sz w:val="24"/>
                <w:szCs w:val="24"/>
              </w:rPr>
            </w:pPr>
          </w:p>
        </w:tc>
        <w:tc>
          <w:tcPr>
            <w:tcW w:w="1166" w:type="dxa"/>
            <w:tcBorders>
              <w:top w:val="single" w:color="auto" w:sz="4" w:space="0"/>
              <w:left w:val="single" w:color="auto" w:sz="4" w:space="0"/>
              <w:bottom w:val="single" w:color="auto" w:sz="4" w:space="0"/>
              <w:right w:val="single" w:color="auto" w:sz="4" w:space="0"/>
            </w:tcBorders>
            <w:vAlign w:val="center"/>
          </w:tcPr>
          <w:p>
            <w:pPr>
              <w:pStyle w:val="15"/>
              <w:rPr>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kern w:val="2"/>
                <w:lang w:val="en-US" w:eastAsia="zh-CN"/>
              </w:rPr>
            </w:pPr>
            <w:r>
              <w:rPr>
                <w:rFonts w:hint="eastAsia"/>
                <w:kern w:val="2"/>
                <w:lang w:val="en-US" w:eastAsia="zh-CN"/>
              </w:rPr>
              <w:t>13</w:t>
            </w:r>
          </w:p>
        </w:tc>
        <w:tc>
          <w:tcPr>
            <w:tcW w:w="4079" w:type="dxa"/>
            <w:gridSpan w:val="2"/>
            <w:tcBorders>
              <w:top w:val="single" w:color="auto" w:sz="4" w:space="0"/>
              <w:left w:val="single" w:color="auto" w:sz="4" w:space="0"/>
              <w:bottom w:val="single" w:color="auto" w:sz="4" w:space="0"/>
              <w:right w:val="single" w:color="auto" w:sz="4" w:space="0"/>
            </w:tcBorders>
            <w:vAlign w:val="center"/>
          </w:tcPr>
          <w:p>
            <w:pPr>
              <w:pStyle w:val="15"/>
              <w:jc w:val="center"/>
              <w:rPr>
                <w:kern w:val="2"/>
                <w:sz w:val="24"/>
                <w:szCs w:val="24"/>
              </w:rPr>
            </w:pPr>
            <w:r>
              <w:rPr>
                <w:rFonts w:hint="eastAsia"/>
                <w:kern w:val="2"/>
                <w:sz w:val="24"/>
                <w:szCs w:val="24"/>
              </w:rPr>
              <w:t>红叶石楠(地径5cm，高度2m，冠幅0.9m以上）</w:t>
            </w:r>
          </w:p>
        </w:tc>
        <w:tc>
          <w:tcPr>
            <w:tcW w:w="71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株</w:t>
            </w:r>
          </w:p>
        </w:tc>
        <w:tc>
          <w:tcPr>
            <w:tcW w:w="94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1359</w:t>
            </w:r>
          </w:p>
        </w:tc>
        <w:tc>
          <w:tcPr>
            <w:tcW w:w="1305" w:type="dxa"/>
            <w:tcBorders>
              <w:top w:val="single" w:color="auto" w:sz="4" w:space="0"/>
              <w:left w:val="single" w:color="auto" w:sz="4" w:space="0"/>
              <w:bottom w:val="single" w:color="auto" w:sz="4" w:space="0"/>
              <w:right w:val="single" w:color="auto" w:sz="4" w:space="0"/>
            </w:tcBorders>
          </w:tcPr>
          <w:p>
            <w:pPr>
              <w:pStyle w:val="15"/>
              <w:rPr>
                <w:kern w:val="2"/>
                <w:sz w:val="24"/>
                <w:szCs w:val="24"/>
              </w:rPr>
            </w:pPr>
          </w:p>
        </w:tc>
        <w:tc>
          <w:tcPr>
            <w:tcW w:w="1039" w:type="dxa"/>
            <w:tcBorders>
              <w:top w:val="single" w:color="auto" w:sz="4" w:space="0"/>
              <w:left w:val="single" w:color="auto" w:sz="4" w:space="0"/>
              <w:bottom w:val="single" w:color="auto" w:sz="4" w:space="0"/>
              <w:right w:val="single" w:color="auto" w:sz="4" w:space="0"/>
            </w:tcBorders>
          </w:tcPr>
          <w:p>
            <w:pPr>
              <w:pStyle w:val="15"/>
              <w:ind w:right="-6" w:rightChars="-3"/>
              <w:rPr>
                <w:kern w:val="2"/>
                <w:sz w:val="24"/>
                <w:szCs w:val="24"/>
              </w:rPr>
            </w:pPr>
          </w:p>
        </w:tc>
        <w:tc>
          <w:tcPr>
            <w:tcW w:w="1166" w:type="dxa"/>
            <w:tcBorders>
              <w:top w:val="single" w:color="auto" w:sz="4" w:space="0"/>
              <w:left w:val="single" w:color="auto" w:sz="4" w:space="0"/>
              <w:bottom w:val="single" w:color="auto" w:sz="4" w:space="0"/>
              <w:right w:val="single" w:color="auto" w:sz="4" w:space="0"/>
            </w:tcBorders>
            <w:vAlign w:val="center"/>
          </w:tcPr>
          <w:p>
            <w:pPr>
              <w:pStyle w:val="15"/>
              <w:rPr>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kern w:val="2"/>
                <w:lang w:val="en-US" w:eastAsia="zh-CN"/>
              </w:rPr>
            </w:pPr>
            <w:r>
              <w:rPr>
                <w:rFonts w:hint="eastAsia"/>
                <w:kern w:val="2"/>
                <w:lang w:val="en-US" w:eastAsia="zh-CN"/>
              </w:rPr>
              <w:t>14</w:t>
            </w:r>
          </w:p>
        </w:tc>
        <w:tc>
          <w:tcPr>
            <w:tcW w:w="4079" w:type="dxa"/>
            <w:gridSpan w:val="2"/>
            <w:tcBorders>
              <w:top w:val="single" w:color="auto" w:sz="4" w:space="0"/>
              <w:left w:val="single" w:color="auto" w:sz="4" w:space="0"/>
              <w:bottom w:val="single" w:color="auto" w:sz="4" w:space="0"/>
              <w:right w:val="single" w:color="auto" w:sz="4" w:space="0"/>
            </w:tcBorders>
            <w:vAlign w:val="center"/>
          </w:tcPr>
          <w:p>
            <w:pPr>
              <w:pStyle w:val="15"/>
              <w:jc w:val="center"/>
              <w:rPr>
                <w:kern w:val="2"/>
                <w:sz w:val="24"/>
                <w:szCs w:val="24"/>
              </w:rPr>
            </w:pPr>
            <w:r>
              <w:rPr>
                <w:rFonts w:hint="eastAsia"/>
                <w:kern w:val="2"/>
                <w:sz w:val="24"/>
                <w:szCs w:val="24"/>
              </w:rPr>
              <w:t>红叶石楠球（高度1m，冠幅1m）</w:t>
            </w:r>
          </w:p>
        </w:tc>
        <w:tc>
          <w:tcPr>
            <w:tcW w:w="71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株</w:t>
            </w:r>
          </w:p>
        </w:tc>
        <w:tc>
          <w:tcPr>
            <w:tcW w:w="94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621</w:t>
            </w:r>
          </w:p>
        </w:tc>
        <w:tc>
          <w:tcPr>
            <w:tcW w:w="1305" w:type="dxa"/>
            <w:tcBorders>
              <w:top w:val="single" w:color="auto" w:sz="4" w:space="0"/>
              <w:left w:val="single" w:color="auto" w:sz="4" w:space="0"/>
              <w:bottom w:val="single" w:color="auto" w:sz="4" w:space="0"/>
              <w:right w:val="single" w:color="auto" w:sz="4" w:space="0"/>
            </w:tcBorders>
          </w:tcPr>
          <w:p>
            <w:pPr>
              <w:pStyle w:val="15"/>
              <w:rPr>
                <w:kern w:val="2"/>
                <w:sz w:val="24"/>
                <w:szCs w:val="24"/>
              </w:rPr>
            </w:pPr>
          </w:p>
        </w:tc>
        <w:tc>
          <w:tcPr>
            <w:tcW w:w="1039" w:type="dxa"/>
            <w:tcBorders>
              <w:top w:val="single" w:color="auto" w:sz="4" w:space="0"/>
              <w:left w:val="single" w:color="auto" w:sz="4" w:space="0"/>
              <w:bottom w:val="single" w:color="auto" w:sz="4" w:space="0"/>
              <w:right w:val="single" w:color="auto" w:sz="4" w:space="0"/>
            </w:tcBorders>
          </w:tcPr>
          <w:p>
            <w:pPr>
              <w:pStyle w:val="15"/>
              <w:ind w:right="-6" w:rightChars="-3"/>
              <w:rPr>
                <w:kern w:val="2"/>
                <w:sz w:val="24"/>
                <w:szCs w:val="24"/>
              </w:rPr>
            </w:pPr>
          </w:p>
        </w:tc>
        <w:tc>
          <w:tcPr>
            <w:tcW w:w="1166" w:type="dxa"/>
            <w:tcBorders>
              <w:top w:val="single" w:color="auto" w:sz="4" w:space="0"/>
              <w:left w:val="single" w:color="auto" w:sz="4" w:space="0"/>
              <w:bottom w:val="single" w:color="auto" w:sz="4" w:space="0"/>
              <w:right w:val="single" w:color="auto" w:sz="4" w:space="0"/>
            </w:tcBorders>
            <w:vAlign w:val="center"/>
          </w:tcPr>
          <w:p>
            <w:pPr>
              <w:pStyle w:val="15"/>
              <w:rPr>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kern w:val="2"/>
                <w:lang w:val="en-US" w:eastAsia="zh-CN"/>
              </w:rPr>
            </w:pPr>
            <w:r>
              <w:rPr>
                <w:rFonts w:hint="eastAsia"/>
                <w:kern w:val="2"/>
                <w:lang w:val="en-US" w:eastAsia="zh-CN"/>
              </w:rPr>
              <w:t>15</w:t>
            </w:r>
          </w:p>
        </w:tc>
        <w:tc>
          <w:tcPr>
            <w:tcW w:w="4079" w:type="dxa"/>
            <w:gridSpan w:val="2"/>
            <w:tcBorders>
              <w:top w:val="single" w:color="auto" w:sz="4" w:space="0"/>
              <w:left w:val="single" w:color="auto" w:sz="4" w:space="0"/>
              <w:bottom w:val="single" w:color="auto" w:sz="4" w:space="0"/>
              <w:right w:val="single" w:color="auto" w:sz="4" w:space="0"/>
            </w:tcBorders>
            <w:vAlign w:val="center"/>
          </w:tcPr>
          <w:p>
            <w:pPr>
              <w:pStyle w:val="15"/>
              <w:jc w:val="center"/>
              <w:rPr>
                <w:kern w:val="2"/>
                <w:sz w:val="24"/>
                <w:szCs w:val="24"/>
              </w:rPr>
            </w:pPr>
            <w:r>
              <w:rPr>
                <w:rFonts w:hint="eastAsia"/>
                <w:kern w:val="2"/>
                <w:sz w:val="24"/>
                <w:szCs w:val="24"/>
              </w:rPr>
              <w:t>黄金叶球（高度1m，冠幅1m）</w:t>
            </w:r>
          </w:p>
        </w:tc>
        <w:tc>
          <w:tcPr>
            <w:tcW w:w="71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株</w:t>
            </w:r>
          </w:p>
        </w:tc>
        <w:tc>
          <w:tcPr>
            <w:tcW w:w="94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1081</w:t>
            </w:r>
          </w:p>
        </w:tc>
        <w:tc>
          <w:tcPr>
            <w:tcW w:w="1305" w:type="dxa"/>
            <w:tcBorders>
              <w:top w:val="single" w:color="auto" w:sz="4" w:space="0"/>
              <w:left w:val="single" w:color="auto" w:sz="4" w:space="0"/>
              <w:bottom w:val="single" w:color="auto" w:sz="4" w:space="0"/>
              <w:right w:val="single" w:color="auto" w:sz="4" w:space="0"/>
            </w:tcBorders>
          </w:tcPr>
          <w:p>
            <w:pPr>
              <w:pStyle w:val="15"/>
              <w:rPr>
                <w:kern w:val="2"/>
                <w:sz w:val="24"/>
                <w:szCs w:val="24"/>
              </w:rPr>
            </w:pPr>
          </w:p>
        </w:tc>
        <w:tc>
          <w:tcPr>
            <w:tcW w:w="1039" w:type="dxa"/>
            <w:tcBorders>
              <w:top w:val="single" w:color="auto" w:sz="4" w:space="0"/>
              <w:left w:val="single" w:color="auto" w:sz="4" w:space="0"/>
              <w:bottom w:val="single" w:color="auto" w:sz="4" w:space="0"/>
              <w:right w:val="single" w:color="auto" w:sz="4" w:space="0"/>
            </w:tcBorders>
          </w:tcPr>
          <w:p>
            <w:pPr>
              <w:pStyle w:val="15"/>
              <w:ind w:right="-6" w:rightChars="-3"/>
              <w:rPr>
                <w:kern w:val="2"/>
                <w:sz w:val="24"/>
                <w:szCs w:val="24"/>
              </w:rPr>
            </w:pPr>
          </w:p>
        </w:tc>
        <w:tc>
          <w:tcPr>
            <w:tcW w:w="1166" w:type="dxa"/>
            <w:tcBorders>
              <w:top w:val="single" w:color="auto" w:sz="4" w:space="0"/>
              <w:left w:val="single" w:color="auto" w:sz="4" w:space="0"/>
              <w:bottom w:val="single" w:color="auto" w:sz="4" w:space="0"/>
              <w:right w:val="single" w:color="auto" w:sz="4" w:space="0"/>
            </w:tcBorders>
            <w:vAlign w:val="center"/>
          </w:tcPr>
          <w:p>
            <w:pPr>
              <w:pStyle w:val="15"/>
              <w:rPr>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kern w:val="2"/>
                <w:lang w:val="en-US" w:eastAsia="zh-CN"/>
              </w:rPr>
            </w:pPr>
            <w:r>
              <w:rPr>
                <w:rFonts w:hint="eastAsia"/>
                <w:kern w:val="2"/>
                <w:lang w:val="en-US" w:eastAsia="zh-CN"/>
              </w:rPr>
              <w:t>16</w:t>
            </w:r>
          </w:p>
        </w:tc>
        <w:tc>
          <w:tcPr>
            <w:tcW w:w="4079" w:type="dxa"/>
            <w:gridSpan w:val="2"/>
            <w:tcBorders>
              <w:top w:val="single" w:color="auto" w:sz="4" w:space="0"/>
              <w:left w:val="single" w:color="auto" w:sz="4" w:space="0"/>
              <w:bottom w:val="single" w:color="auto" w:sz="4" w:space="0"/>
              <w:right w:val="single" w:color="auto" w:sz="4" w:space="0"/>
            </w:tcBorders>
            <w:vAlign w:val="center"/>
          </w:tcPr>
          <w:p>
            <w:pPr>
              <w:pStyle w:val="15"/>
              <w:jc w:val="center"/>
              <w:rPr>
                <w:kern w:val="2"/>
                <w:sz w:val="24"/>
                <w:szCs w:val="24"/>
              </w:rPr>
            </w:pPr>
            <w:r>
              <w:rPr>
                <w:rFonts w:hint="eastAsia"/>
                <w:kern w:val="2"/>
                <w:sz w:val="24"/>
                <w:szCs w:val="24"/>
              </w:rPr>
              <w:t>夹竹桃(高度0.8m，3分叉以上)</w:t>
            </w:r>
          </w:p>
        </w:tc>
        <w:tc>
          <w:tcPr>
            <w:tcW w:w="71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株</w:t>
            </w:r>
          </w:p>
        </w:tc>
        <w:tc>
          <w:tcPr>
            <w:tcW w:w="94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1629</w:t>
            </w:r>
          </w:p>
        </w:tc>
        <w:tc>
          <w:tcPr>
            <w:tcW w:w="1305" w:type="dxa"/>
            <w:tcBorders>
              <w:top w:val="single" w:color="auto" w:sz="4" w:space="0"/>
              <w:left w:val="single" w:color="auto" w:sz="4" w:space="0"/>
              <w:bottom w:val="single" w:color="auto" w:sz="4" w:space="0"/>
              <w:right w:val="single" w:color="auto" w:sz="4" w:space="0"/>
            </w:tcBorders>
          </w:tcPr>
          <w:p>
            <w:pPr>
              <w:pStyle w:val="15"/>
              <w:rPr>
                <w:kern w:val="2"/>
                <w:sz w:val="24"/>
                <w:szCs w:val="24"/>
              </w:rPr>
            </w:pPr>
          </w:p>
        </w:tc>
        <w:tc>
          <w:tcPr>
            <w:tcW w:w="1039" w:type="dxa"/>
            <w:tcBorders>
              <w:top w:val="single" w:color="auto" w:sz="4" w:space="0"/>
              <w:left w:val="single" w:color="auto" w:sz="4" w:space="0"/>
              <w:bottom w:val="single" w:color="auto" w:sz="4" w:space="0"/>
              <w:right w:val="single" w:color="auto" w:sz="4" w:space="0"/>
            </w:tcBorders>
          </w:tcPr>
          <w:p>
            <w:pPr>
              <w:pStyle w:val="15"/>
              <w:ind w:right="-6" w:rightChars="-3"/>
              <w:rPr>
                <w:kern w:val="2"/>
                <w:sz w:val="24"/>
                <w:szCs w:val="24"/>
              </w:rPr>
            </w:pPr>
          </w:p>
        </w:tc>
        <w:tc>
          <w:tcPr>
            <w:tcW w:w="1166" w:type="dxa"/>
            <w:tcBorders>
              <w:top w:val="single" w:color="auto" w:sz="4" w:space="0"/>
              <w:left w:val="single" w:color="auto" w:sz="4" w:space="0"/>
              <w:bottom w:val="single" w:color="auto" w:sz="4" w:space="0"/>
              <w:right w:val="single" w:color="auto" w:sz="4" w:space="0"/>
            </w:tcBorders>
            <w:vAlign w:val="center"/>
          </w:tcPr>
          <w:p>
            <w:pPr>
              <w:pStyle w:val="15"/>
              <w:rPr>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kern w:val="2"/>
                <w:lang w:val="en-US" w:eastAsia="zh-CN"/>
              </w:rPr>
            </w:pPr>
            <w:r>
              <w:rPr>
                <w:rFonts w:hint="eastAsia"/>
                <w:kern w:val="2"/>
                <w:lang w:val="en-US" w:eastAsia="zh-CN"/>
              </w:rPr>
              <w:t>17</w:t>
            </w:r>
          </w:p>
        </w:tc>
        <w:tc>
          <w:tcPr>
            <w:tcW w:w="4079" w:type="dxa"/>
            <w:gridSpan w:val="2"/>
            <w:tcBorders>
              <w:top w:val="single" w:color="auto" w:sz="4" w:space="0"/>
              <w:left w:val="single" w:color="auto" w:sz="4" w:space="0"/>
              <w:bottom w:val="single" w:color="auto" w:sz="4" w:space="0"/>
              <w:right w:val="single" w:color="auto" w:sz="4" w:space="0"/>
            </w:tcBorders>
            <w:vAlign w:val="center"/>
          </w:tcPr>
          <w:p>
            <w:pPr>
              <w:pStyle w:val="15"/>
              <w:jc w:val="center"/>
              <w:rPr>
                <w:kern w:val="2"/>
                <w:sz w:val="24"/>
                <w:szCs w:val="24"/>
              </w:rPr>
            </w:pPr>
            <w:r>
              <w:rPr>
                <w:rFonts w:hint="eastAsia"/>
                <w:kern w:val="2"/>
                <w:sz w:val="24"/>
                <w:szCs w:val="24"/>
              </w:rPr>
              <w:t>三角梅(高度0.5m以上，袋苗)</w:t>
            </w:r>
          </w:p>
        </w:tc>
        <w:tc>
          <w:tcPr>
            <w:tcW w:w="71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株</w:t>
            </w:r>
          </w:p>
        </w:tc>
        <w:tc>
          <w:tcPr>
            <w:tcW w:w="94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2971</w:t>
            </w:r>
          </w:p>
        </w:tc>
        <w:tc>
          <w:tcPr>
            <w:tcW w:w="1305" w:type="dxa"/>
            <w:tcBorders>
              <w:top w:val="single" w:color="auto" w:sz="4" w:space="0"/>
              <w:left w:val="single" w:color="auto" w:sz="4" w:space="0"/>
              <w:bottom w:val="single" w:color="auto" w:sz="4" w:space="0"/>
              <w:right w:val="single" w:color="auto" w:sz="4" w:space="0"/>
            </w:tcBorders>
          </w:tcPr>
          <w:p>
            <w:pPr>
              <w:pStyle w:val="15"/>
              <w:rPr>
                <w:kern w:val="2"/>
                <w:sz w:val="24"/>
                <w:szCs w:val="24"/>
              </w:rPr>
            </w:pPr>
          </w:p>
        </w:tc>
        <w:tc>
          <w:tcPr>
            <w:tcW w:w="1039" w:type="dxa"/>
            <w:tcBorders>
              <w:top w:val="single" w:color="auto" w:sz="4" w:space="0"/>
              <w:left w:val="single" w:color="auto" w:sz="4" w:space="0"/>
              <w:bottom w:val="single" w:color="auto" w:sz="4" w:space="0"/>
              <w:right w:val="single" w:color="auto" w:sz="4" w:space="0"/>
            </w:tcBorders>
          </w:tcPr>
          <w:p>
            <w:pPr>
              <w:pStyle w:val="15"/>
              <w:ind w:right="-6" w:rightChars="-3"/>
              <w:rPr>
                <w:kern w:val="2"/>
                <w:sz w:val="24"/>
                <w:szCs w:val="24"/>
              </w:rPr>
            </w:pPr>
          </w:p>
        </w:tc>
        <w:tc>
          <w:tcPr>
            <w:tcW w:w="1166" w:type="dxa"/>
            <w:tcBorders>
              <w:top w:val="single" w:color="auto" w:sz="4" w:space="0"/>
              <w:left w:val="single" w:color="auto" w:sz="4" w:space="0"/>
              <w:bottom w:val="single" w:color="auto" w:sz="4" w:space="0"/>
              <w:right w:val="single" w:color="auto" w:sz="4" w:space="0"/>
            </w:tcBorders>
            <w:vAlign w:val="center"/>
          </w:tcPr>
          <w:p>
            <w:pPr>
              <w:pStyle w:val="15"/>
              <w:rPr>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kern w:val="2"/>
                <w:lang w:val="en-US" w:eastAsia="zh-CN"/>
              </w:rPr>
            </w:pPr>
            <w:r>
              <w:rPr>
                <w:rFonts w:hint="eastAsia"/>
                <w:kern w:val="2"/>
                <w:lang w:val="en-US" w:eastAsia="zh-CN"/>
              </w:rPr>
              <w:t>18</w:t>
            </w:r>
          </w:p>
        </w:tc>
        <w:tc>
          <w:tcPr>
            <w:tcW w:w="4079" w:type="dxa"/>
            <w:gridSpan w:val="2"/>
            <w:tcBorders>
              <w:top w:val="single" w:color="auto" w:sz="4" w:space="0"/>
              <w:left w:val="single" w:color="auto" w:sz="4" w:space="0"/>
              <w:bottom w:val="single" w:color="auto" w:sz="4" w:space="0"/>
              <w:right w:val="single" w:color="auto" w:sz="4" w:space="0"/>
            </w:tcBorders>
            <w:vAlign w:val="center"/>
          </w:tcPr>
          <w:p>
            <w:pPr>
              <w:pStyle w:val="15"/>
              <w:jc w:val="center"/>
              <w:rPr>
                <w:kern w:val="2"/>
                <w:sz w:val="24"/>
                <w:szCs w:val="24"/>
              </w:rPr>
            </w:pPr>
            <w:r>
              <w:rPr>
                <w:rFonts w:hint="eastAsia"/>
                <w:kern w:val="2"/>
                <w:sz w:val="24"/>
                <w:szCs w:val="24"/>
              </w:rPr>
              <w:t>撒播草种</w:t>
            </w:r>
          </w:p>
        </w:tc>
        <w:tc>
          <w:tcPr>
            <w:tcW w:w="71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w:t>
            </w:r>
          </w:p>
        </w:tc>
        <w:tc>
          <w:tcPr>
            <w:tcW w:w="94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8137</w:t>
            </w:r>
          </w:p>
        </w:tc>
        <w:tc>
          <w:tcPr>
            <w:tcW w:w="1305" w:type="dxa"/>
            <w:tcBorders>
              <w:top w:val="single" w:color="auto" w:sz="4" w:space="0"/>
              <w:left w:val="single" w:color="auto" w:sz="4" w:space="0"/>
              <w:bottom w:val="single" w:color="auto" w:sz="4" w:space="0"/>
              <w:right w:val="single" w:color="auto" w:sz="4" w:space="0"/>
            </w:tcBorders>
          </w:tcPr>
          <w:p>
            <w:pPr>
              <w:pStyle w:val="15"/>
              <w:rPr>
                <w:kern w:val="2"/>
                <w:sz w:val="24"/>
                <w:szCs w:val="24"/>
              </w:rPr>
            </w:pPr>
          </w:p>
        </w:tc>
        <w:tc>
          <w:tcPr>
            <w:tcW w:w="1039" w:type="dxa"/>
            <w:tcBorders>
              <w:top w:val="single" w:color="auto" w:sz="4" w:space="0"/>
              <w:left w:val="single" w:color="auto" w:sz="4" w:space="0"/>
              <w:bottom w:val="single" w:color="auto" w:sz="4" w:space="0"/>
              <w:right w:val="single" w:color="auto" w:sz="4" w:space="0"/>
            </w:tcBorders>
          </w:tcPr>
          <w:p>
            <w:pPr>
              <w:pStyle w:val="15"/>
              <w:ind w:right="-6" w:rightChars="-3"/>
              <w:rPr>
                <w:kern w:val="2"/>
                <w:sz w:val="24"/>
                <w:szCs w:val="24"/>
              </w:rPr>
            </w:pPr>
          </w:p>
        </w:tc>
        <w:tc>
          <w:tcPr>
            <w:tcW w:w="1166" w:type="dxa"/>
            <w:tcBorders>
              <w:top w:val="single" w:color="auto" w:sz="4" w:space="0"/>
              <w:left w:val="single" w:color="auto" w:sz="4" w:space="0"/>
              <w:bottom w:val="single" w:color="auto" w:sz="4" w:space="0"/>
              <w:right w:val="single" w:color="auto" w:sz="4" w:space="0"/>
            </w:tcBorders>
            <w:vAlign w:val="center"/>
          </w:tcPr>
          <w:p>
            <w:pPr>
              <w:pStyle w:val="15"/>
              <w:rPr>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eastAsia="宋体"/>
                <w:kern w:val="2"/>
                <w:lang w:val="en-US" w:eastAsia="zh-CN"/>
              </w:rPr>
            </w:pPr>
            <w:r>
              <w:rPr>
                <w:rFonts w:hint="eastAsia"/>
                <w:kern w:val="2"/>
                <w:lang w:val="en-US" w:eastAsia="zh-CN"/>
              </w:rPr>
              <w:t>19</w:t>
            </w:r>
          </w:p>
        </w:tc>
        <w:tc>
          <w:tcPr>
            <w:tcW w:w="407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锚杆φ14mm（1.21kg/m）</w:t>
            </w:r>
          </w:p>
          <w:p>
            <w:pPr>
              <w:pStyle w:val="15"/>
              <w:jc w:val="center"/>
              <w:rPr>
                <w:kern w:val="2"/>
                <w:sz w:val="24"/>
                <w:szCs w:val="24"/>
              </w:rPr>
            </w:pPr>
          </w:p>
        </w:tc>
        <w:tc>
          <w:tcPr>
            <w:tcW w:w="716" w:type="dxa"/>
            <w:tcBorders>
              <w:top w:val="single" w:color="auto" w:sz="4" w:space="0"/>
              <w:left w:val="single" w:color="auto" w:sz="4" w:space="0"/>
              <w:bottom w:val="single" w:color="auto" w:sz="4" w:space="0"/>
              <w:right w:val="single" w:color="auto" w:sz="4" w:space="0"/>
            </w:tcBorders>
            <w:vAlign w:val="center"/>
          </w:tcPr>
          <w:p>
            <w:pPr>
              <w:pStyle w:val="15"/>
              <w:jc w:val="center"/>
              <w:rPr>
                <w:kern w:val="2"/>
                <w:sz w:val="24"/>
                <w:szCs w:val="24"/>
              </w:rPr>
            </w:pPr>
            <w:r>
              <w:rPr>
                <w:rFonts w:hint="eastAsia" w:asciiTheme="minorEastAsia" w:hAnsiTheme="minorEastAsia" w:eastAsiaTheme="minorEastAsia" w:cstheme="minorEastAsia"/>
                <w:kern w:val="0"/>
                <w:sz w:val="24"/>
                <w:szCs w:val="24"/>
                <w:lang w:val="en-US" w:eastAsia="zh-CN" w:bidi="ar-SA"/>
              </w:rPr>
              <w:t>m</w:t>
            </w:r>
          </w:p>
        </w:tc>
        <w:tc>
          <w:tcPr>
            <w:tcW w:w="94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default"/>
                <w:kern w:val="2"/>
                <w:sz w:val="24"/>
                <w:szCs w:val="24"/>
                <w:lang w:val="en-US"/>
              </w:rPr>
            </w:pPr>
            <w:r>
              <w:rPr>
                <w:rFonts w:hint="eastAsia" w:asciiTheme="minorEastAsia" w:hAnsiTheme="minorEastAsia" w:eastAsiaTheme="minorEastAsia" w:cstheme="minorEastAsia"/>
                <w:kern w:val="0"/>
                <w:sz w:val="18"/>
                <w:szCs w:val="18"/>
                <w:lang w:val="en-US" w:eastAsia="zh-CN" w:bidi="ar-SA"/>
              </w:rPr>
              <w:t>23680</w:t>
            </w:r>
          </w:p>
        </w:tc>
        <w:tc>
          <w:tcPr>
            <w:tcW w:w="1305" w:type="dxa"/>
            <w:tcBorders>
              <w:top w:val="single" w:color="auto" w:sz="4" w:space="0"/>
              <w:left w:val="single" w:color="auto" w:sz="4" w:space="0"/>
              <w:bottom w:val="single" w:color="auto" w:sz="4" w:space="0"/>
              <w:right w:val="single" w:color="auto" w:sz="4" w:space="0"/>
            </w:tcBorders>
          </w:tcPr>
          <w:p>
            <w:pPr>
              <w:pStyle w:val="15"/>
              <w:rPr>
                <w:kern w:val="2"/>
                <w:sz w:val="24"/>
                <w:szCs w:val="24"/>
              </w:rPr>
            </w:pPr>
          </w:p>
        </w:tc>
        <w:tc>
          <w:tcPr>
            <w:tcW w:w="1039" w:type="dxa"/>
            <w:tcBorders>
              <w:top w:val="single" w:color="auto" w:sz="4" w:space="0"/>
              <w:left w:val="single" w:color="auto" w:sz="4" w:space="0"/>
              <w:bottom w:val="single" w:color="auto" w:sz="4" w:space="0"/>
              <w:right w:val="single" w:color="auto" w:sz="4" w:space="0"/>
            </w:tcBorders>
          </w:tcPr>
          <w:p>
            <w:pPr>
              <w:pStyle w:val="15"/>
              <w:ind w:right="-6" w:rightChars="-3"/>
              <w:rPr>
                <w:kern w:val="2"/>
                <w:sz w:val="24"/>
                <w:szCs w:val="24"/>
              </w:rPr>
            </w:pPr>
          </w:p>
        </w:tc>
        <w:tc>
          <w:tcPr>
            <w:tcW w:w="1166" w:type="dxa"/>
            <w:tcBorders>
              <w:top w:val="single" w:color="auto" w:sz="4" w:space="0"/>
              <w:left w:val="single" w:color="auto" w:sz="4" w:space="0"/>
              <w:bottom w:val="single" w:color="auto" w:sz="4" w:space="0"/>
              <w:right w:val="single" w:color="auto" w:sz="4" w:space="0"/>
            </w:tcBorders>
            <w:vAlign w:val="center"/>
          </w:tcPr>
          <w:p>
            <w:pPr>
              <w:pStyle w:val="15"/>
              <w:rPr>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eastAsia="宋体"/>
                <w:kern w:val="2"/>
                <w:lang w:val="en-US" w:eastAsia="zh-CN"/>
              </w:rPr>
            </w:pPr>
            <w:r>
              <w:rPr>
                <w:rFonts w:hint="eastAsia"/>
                <w:kern w:val="2"/>
                <w:lang w:val="en-US" w:eastAsia="zh-CN"/>
              </w:rPr>
              <w:t>20</w:t>
            </w:r>
          </w:p>
        </w:tc>
        <w:tc>
          <w:tcPr>
            <w:tcW w:w="407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锚杆φ20mm（2.466kg/m）</w:t>
            </w:r>
          </w:p>
          <w:p>
            <w:pPr>
              <w:pStyle w:val="15"/>
              <w:jc w:val="center"/>
              <w:rPr>
                <w:kern w:val="2"/>
                <w:sz w:val="24"/>
                <w:szCs w:val="24"/>
              </w:rPr>
            </w:pPr>
          </w:p>
        </w:tc>
        <w:tc>
          <w:tcPr>
            <w:tcW w:w="7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m</w:t>
            </w:r>
          </w:p>
          <w:p>
            <w:pPr>
              <w:pStyle w:val="15"/>
              <w:jc w:val="center"/>
              <w:rPr>
                <w:kern w:val="2"/>
                <w:sz w:val="24"/>
                <w:szCs w:val="24"/>
              </w:rPr>
            </w:pPr>
          </w:p>
        </w:tc>
        <w:tc>
          <w:tcPr>
            <w:tcW w:w="94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24555</w:t>
            </w:r>
          </w:p>
          <w:p>
            <w:pPr>
              <w:pStyle w:val="15"/>
              <w:jc w:val="center"/>
              <w:rPr>
                <w:kern w:val="2"/>
                <w:sz w:val="24"/>
                <w:szCs w:val="24"/>
              </w:rPr>
            </w:pPr>
          </w:p>
        </w:tc>
        <w:tc>
          <w:tcPr>
            <w:tcW w:w="1305" w:type="dxa"/>
            <w:tcBorders>
              <w:top w:val="single" w:color="auto" w:sz="4" w:space="0"/>
              <w:left w:val="single" w:color="auto" w:sz="4" w:space="0"/>
              <w:bottom w:val="single" w:color="auto" w:sz="4" w:space="0"/>
              <w:right w:val="single" w:color="auto" w:sz="4" w:space="0"/>
            </w:tcBorders>
          </w:tcPr>
          <w:p>
            <w:pPr>
              <w:pStyle w:val="15"/>
              <w:rPr>
                <w:kern w:val="2"/>
                <w:sz w:val="24"/>
                <w:szCs w:val="24"/>
              </w:rPr>
            </w:pPr>
          </w:p>
        </w:tc>
        <w:tc>
          <w:tcPr>
            <w:tcW w:w="1039" w:type="dxa"/>
            <w:tcBorders>
              <w:top w:val="single" w:color="auto" w:sz="4" w:space="0"/>
              <w:left w:val="single" w:color="auto" w:sz="4" w:space="0"/>
              <w:bottom w:val="single" w:color="auto" w:sz="4" w:space="0"/>
              <w:right w:val="single" w:color="auto" w:sz="4" w:space="0"/>
            </w:tcBorders>
          </w:tcPr>
          <w:p>
            <w:pPr>
              <w:pStyle w:val="15"/>
              <w:ind w:right="-6" w:rightChars="-3"/>
              <w:rPr>
                <w:kern w:val="2"/>
                <w:sz w:val="24"/>
                <w:szCs w:val="24"/>
              </w:rPr>
            </w:pPr>
          </w:p>
        </w:tc>
        <w:tc>
          <w:tcPr>
            <w:tcW w:w="1166" w:type="dxa"/>
            <w:tcBorders>
              <w:top w:val="single" w:color="auto" w:sz="4" w:space="0"/>
              <w:left w:val="single" w:color="auto" w:sz="4" w:space="0"/>
              <w:bottom w:val="single" w:color="auto" w:sz="4" w:space="0"/>
              <w:right w:val="single" w:color="auto" w:sz="4" w:space="0"/>
            </w:tcBorders>
            <w:vAlign w:val="center"/>
          </w:tcPr>
          <w:p>
            <w:pPr>
              <w:pStyle w:val="15"/>
              <w:rPr>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kern w:val="2"/>
                <w:lang w:val="en-US" w:eastAsia="zh-CN"/>
              </w:rPr>
            </w:pPr>
            <w:r>
              <w:rPr>
                <w:rFonts w:hint="eastAsia"/>
                <w:kern w:val="2"/>
                <w:lang w:val="en-US" w:eastAsia="zh-CN"/>
              </w:rPr>
              <w:t>21</w:t>
            </w:r>
          </w:p>
        </w:tc>
        <w:tc>
          <w:tcPr>
            <w:tcW w:w="407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钢筋网</w:t>
            </w:r>
          </w:p>
          <w:p>
            <w:pPr>
              <w:pStyle w:val="15"/>
              <w:jc w:val="center"/>
              <w:rPr>
                <w:kern w:val="2"/>
                <w:sz w:val="24"/>
                <w:szCs w:val="24"/>
              </w:rPr>
            </w:pPr>
          </w:p>
        </w:tc>
        <w:tc>
          <w:tcPr>
            <w:tcW w:w="71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SA"/>
              </w:rPr>
              <w:t>kg</w:t>
            </w:r>
          </w:p>
        </w:tc>
        <w:tc>
          <w:tcPr>
            <w:tcW w:w="94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kern w:val="0"/>
                <w:sz w:val="18"/>
                <w:szCs w:val="18"/>
                <w:lang w:val="en-US" w:eastAsia="zh-CN" w:bidi="ar-SA"/>
              </w:rPr>
              <w:t>4474.0</w:t>
            </w:r>
          </w:p>
        </w:tc>
        <w:tc>
          <w:tcPr>
            <w:tcW w:w="1305" w:type="dxa"/>
            <w:tcBorders>
              <w:top w:val="single" w:color="auto" w:sz="4" w:space="0"/>
              <w:left w:val="single" w:color="auto" w:sz="4" w:space="0"/>
              <w:bottom w:val="single" w:color="auto" w:sz="4" w:space="0"/>
              <w:right w:val="single" w:color="auto" w:sz="4" w:space="0"/>
            </w:tcBorders>
          </w:tcPr>
          <w:p>
            <w:pPr>
              <w:pStyle w:val="15"/>
              <w:rPr>
                <w:kern w:val="2"/>
                <w:sz w:val="24"/>
                <w:szCs w:val="24"/>
              </w:rPr>
            </w:pPr>
          </w:p>
        </w:tc>
        <w:tc>
          <w:tcPr>
            <w:tcW w:w="1039" w:type="dxa"/>
            <w:tcBorders>
              <w:top w:val="single" w:color="auto" w:sz="4" w:space="0"/>
              <w:left w:val="single" w:color="auto" w:sz="4" w:space="0"/>
              <w:bottom w:val="single" w:color="auto" w:sz="4" w:space="0"/>
              <w:right w:val="single" w:color="auto" w:sz="4" w:space="0"/>
            </w:tcBorders>
          </w:tcPr>
          <w:p>
            <w:pPr>
              <w:pStyle w:val="15"/>
              <w:ind w:right="-6" w:rightChars="-3"/>
              <w:rPr>
                <w:kern w:val="2"/>
                <w:sz w:val="24"/>
                <w:szCs w:val="24"/>
              </w:rPr>
            </w:pPr>
          </w:p>
        </w:tc>
        <w:tc>
          <w:tcPr>
            <w:tcW w:w="1166" w:type="dxa"/>
            <w:tcBorders>
              <w:top w:val="single" w:color="auto" w:sz="4" w:space="0"/>
              <w:left w:val="single" w:color="auto" w:sz="4" w:space="0"/>
              <w:bottom w:val="single" w:color="auto" w:sz="4" w:space="0"/>
              <w:right w:val="single" w:color="auto" w:sz="4" w:space="0"/>
            </w:tcBorders>
            <w:vAlign w:val="center"/>
          </w:tcPr>
          <w:p>
            <w:pPr>
              <w:pStyle w:val="15"/>
              <w:rPr>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eastAsia="宋体"/>
                <w:kern w:val="2"/>
                <w:lang w:val="en-US" w:eastAsia="zh-CN"/>
              </w:rPr>
            </w:pPr>
            <w:r>
              <w:rPr>
                <w:rFonts w:hint="eastAsia"/>
                <w:kern w:val="2"/>
                <w:lang w:val="en-US" w:eastAsia="zh-CN"/>
              </w:rPr>
              <w:t>22</w:t>
            </w:r>
          </w:p>
        </w:tc>
        <w:tc>
          <w:tcPr>
            <w:tcW w:w="407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C20砼锚座(40cm*40cm*10cm)</w:t>
            </w:r>
          </w:p>
          <w:p>
            <w:pPr>
              <w:pStyle w:val="15"/>
              <w:jc w:val="center"/>
              <w:rPr>
                <w:kern w:val="2"/>
                <w:sz w:val="24"/>
                <w:szCs w:val="24"/>
              </w:rPr>
            </w:pPr>
          </w:p>
        </w:tc>
        <w:tc>
          <w:tcPr>
            <w:tcW w:w="716" w:type="dxa"/>
            <w:tcBorders>
              <w:top w:val="single" w:color="auto" w:sz="4" w:space="0"/>
              <w:left w:val="single" w:color="auto" w:sz="4" w:space="0"/>
              <w:bottom w:val="single" w:color="auto" w:sz="4" w:space="0"/>
              <w:right w:val="single" w:color="auto" w:sz="4" w:space="0"/>
            </w:tcBorders>
            <w:vAlign w:val="center"/>
          </w:tcPr>
          <w:p>
            <w:pPr>
              <w:pStyle w:val="15"/>
              <w:jc w:val="center"/>
              <w:rPr>
                <w:kern w:val="2"/>
                <w:sz w:val="24"/>
                <w:szCs w:val="24"/>
              </w:rPr>
            </w:pPr>
            <w:r>
              <w:rPr>
                <w:rFonts w:hint="eastAsia" w:asciiTheme="minorEastAsia" w:hAnsiTheme="minorEastAsia" w:eastAsiaTheme="minorEastAsia" w:cstheme="minorEastAsia"/>
                <w:kern w:val="0"/>
                <w:sz w:val="24"/>
                <w:szCs w:val="24"/>
                <w:lang w:val="en-US" w:eastAsia="zh-CN" w:bidi="ar-SA"/>
              </w:rPr>
              <w:t>个</w:t>
            </w:r>
          </w:p>
        </w:tc>
        <w:tc>
          <w:tcPr>
            <w:tcW w:w="94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default" w:eastAsia="宋体"/>
                <w:kern w:val="2"/>
                <w:sz w:val="24"/>
                <w:szCs w:val="24"/>
                <w:lang w:val="en-US" w:eastAsia="zh-CN"/>
              </w:rPr>
            </w:pPr>
            <w:r>
              <w:rPr>
                <w:rFonts w:hint="eastAsia" w:asciiTheme="minorEastAsia" w:hAnsiTheme="minorEastAsia" w:eastAsiaTheme="minorEastAsia" w:cstheme="minorEastAsia"/>
                <w:kern w:val="0"/>
                <w:sz w:val="18"/>
                <w:szCs w:val="18"/>
                <w:lang w:val="en-US" w:eastAsia="zh-CN" w:bidi="ar-SA"/>
              </w:rPr>
              <w:t>4718</w:t>
            </w:r>
          </w:p>
        </w:tc>
        <w:tc>
          <w:tcPr>
            <w:tcW w:w="1305" w:type="dxa"/>
            <w:tcBorders>
              <w:top w:val="single" w:color="auto" w:sz="4" w:space="0"/>
              <w:left w:val="single" w:color="auto" w:sz="4" w:space="0"/>
              <w:bottom w:val="single" w:color="auto" w:sz="4" w:space="0"/>
              <w:right w:val="single" w:color="auto" w:sz="4" w:space="0"/>
            </w:tcBorders>
          </w:tcPr>
          <w:p>
            <w:pPr>
              <w:pStyle w:val="15"/>
              <w:rPr>
                <w:kern w:val="2"/>
                <w:sz w:val="24"/>
                <w:szCs w:val="24"/>
              </w:rPr>
            </w:pPr>
          </w:p>
        </w:tc>
        <w:tc>
          <w:tcPr>
            <w:tcW w:w="1039" w:type="dxa"/>
            <w:tcBorders>
              <w:top w:val="single" w:color="auto" w:sz="4" w:space="0"/>
              <w:left w:val="single" w:color="auto" w:sz="4" w:space="0"/>
              <w:bottom w:val="single" w:color="auto" w:sz="4" w:space="0"/>
              <w:right w:val="single" w:color="auto" w:sz="4" w:space="0"/>
            </w:tcBorders>
          </w:tcPr>
          <w:p>
            <w:pPr>
              <w:pStyle w:val="15"/>
              <w:ind w:right="-6" w:rightChars="-3"/>
              <w:rPr>
                <w:kern w:val="2"/>
                <w:sz w:val="24"/>
                <w:szCs w:val="24"/>
              </w:rPr>
            </w:pPr>
          </w:p>
        </w:tc>
        <w:tc>
          <w:tcPr>
            <w:tcW w:w="1166" w:type="dxa"/>
            <w:tcBorders>
              <w:top w:val="single" w:color="auto" w:sz="4" w:space="0"/>
              <w:left w:val="single" w:color="auto" w:sz="4" w:space="0"/>
              <w:bottom w:val="single" w:color="auto" w:sz="4" w:space="0"/>
              <w:right w:val="single" w:color="auto" w:sz="4" w:space="0"/>
            </w:tcBorders>
            <w:vAlign w:val="center"/>
          </w:tcPr>
          <w:p>
            <w:pPr>
              <w:pStyle w:val="15"/>
              <w:jc w:val="both"/>
              <w:rPr>
                <w:rFonts w:hint="eastAsia" w:eastAsia="宋体"/>
                <w:kern w:val="2"/>
                <w:sz w:val="24"/>
                <w:szCs w:val="24"/>
                <w:lang w:val="en-US" w:eastAsia="zh-CN"/>
              </w:rPr>
            </w:pPr>
          </w:p>
        </w:tc>
      </w:tr>
    </w:tbl>
    <w:p>
      <w:pPr>
        <w:jc w:val="left"/>
        <w:outlineLvl w:val="1"/>
        <w:rPr>
          <w:rFonts w:hint="eastAsia" w:ascii="宋体"/>
          <w:sz w:val="28"/>
          <w:szCs w:val="28"/>
        </w:rPr>
      </w:pPr>
      <w:bookmarkStart w:id="7" w:name="_Toc231175115"/>
      <w:bookmarkStart w:id="8" w:name="_Toc231140182"/>
      <w:bookmarkStart w:id="9" w:name="_Toc235873691"/>
      <w:bookmarkStart w:id="10" w:name="_Toc231520685"/>
    </w:p>
    <w:p>
      <w:pPr>
        <w:jc w:val="left"/>
        <w:outlineLvl w:val="1"/>
        <w:rPr>
          <w:rFonts w:hint="eastAsia" w:ascii="宋体"/>
          <w:sz w:val="28"/>
          <w:szCs w:val="28"/>
          <w:lang w:val="en-US" w:eastAsia="zh-CN"/>
        </w:rPr>
      </w:pPr>
    </w:p>
    <w:p>
      <w:pPr>
        <w:jc w:val="left"/>
        <w:outlineLvl w:val="1"/>
        <w:rPr>
          <w:rFonts w:hint="eastAsia" w:ascii="宋体"/>
          <w:sz w:val="28"/>
          <w:szCs w:val="28"/>
          <w:lang w:val="en-US" w:eastAsia="zh-CN"/>
        </w:rPr>
      </w:pPr>
    </w:p>
    <w:p>
      <w:pPr>
        <w:jc w:val="left"/>
        <w:outlineLvl w:val="1"/>
        <w:rPr>
          <w:rFonts w:hint="eastAsia" w:ascii="宋体"/>
          <w:sz w:val="28"/>
          <w:szCs w:val="28"/>
          <w:lang w:val="en-US" w:eastAsia="zh-CN"/>
        </w:rPr>
      </w:pPr>
    </w:p>
    <w:p>
      <w:pPr>
        <w:jc w:val="left"/>
        <w:outlineLvl w:val="1"/>
        <w:rPr>
          <w:rFonts w:hint="eastAsia" w:ascii="宋体"/>
          <w:sz w:val="28"/>
          <w:szCs w:val="28"/>
        </w:rPr>
      </w:pPr>
    </w:p>
    <w:p>
      <w:pPr>
        <w:jc w:val="left"/>
        <w:outlineLvl w:val="1"/>
        <w:rPr>
          <w:rFonts w:hint="eastAsia" w:ascii="宋体"/>
          <w:sz w:val="28"/>
          <w:szCs w:val="28"/>
        </w:rPr>
      </w:pPr>
    </w:p>
    <w:p>
      <w:pPr>
        <w:jc w:val="left"/>
        <w:outlineLvl w:val="1"/>
        <w:rPr>
          <w:rFonts w:hint="eastAsia" w:ascii="宋体"/>
          <w:sz w:val="28"/>
          <w:szCs w:val="28"/>
        </w:rPr>
      </w:pPr>
    </w:p>
    <w:p>
      <w:pPr>
        <w:jc w:val="left"/>
        <w:outlineLvl w:val="1"/>
        <w:rPr>
          <w:rFonts w:hint="eastAsia" w:ascii="宋体"/>
          <w:sz w:val="28"/>
          <w:szCs w:val="28"/>
        </w:rPr>
      </w:pPr>
    </w:p>
    <w:p>
      <w:pPr>
        <w:jc w:val="left"/>
        <w:outlineLvl w:val="1"/>
        <w:rPr>
          <w:rFonts w:hint="eastAsia" w:ascii="宋体"/>
          <w:sz w:val="28"/>
          <w:szCs w:val="28"/>
        </w:rPr>
      </w:pPr>
    </w:p>
    <w:p>
      <w:pPr>
        <w:jc w:val="left"/>
        <w:outlineLvl w:val="1"/>
        <w:rPr>
          <w:rFonts w:hint="eastAsia" w:ascii="宋体"/>
          <w:sz w:val="28"/>
          <w:szCs w:val="28"/>
        </w:rPr>
      </w:pPr>
    </w:p>
    <w:p>
      <w:pPr>
        <w:jc w:val="left"/>
        <w:outlineLvl w:val="1"/>
        <w:rPr>
          <w:rFonts w:hint="eastAsia" w:ascii="宋体"/>
          <w:sz w:val="28"/>
          <w:szCs w:val="28"/>
        </w:rPr>
      </w:pPr>
    </w:p>
    <w:p>
      <w:pPr>
        <w:jc w:val="left"/>
        <w:outlineLvl w:val="1"/>
        <w:rPr>
          <w:rFonts w:hint="eastAsia" w:ascii="宋体"/>
          <w:sz w:val="28"/>
          <w:szCs w:val="28"/>
        </w:rPr>
      </w:pPr>
    </w:p>
    <w:p>
      <w:pPr>
        <w:jc w:val="left"/>
        <w:outlineLvl w:val="1"/>
        <w:rPr>
          <w:rFonts w:hint="eastAsia" w:ascii="宋体"/>
          <w:sz w:val="28"/>
          <w:szCs w:val="28"/>
        </w:rPr>
      </w:pPr>
    </w:p>
    <w:p>
      <w:pPr>
        <w:jc w:val="left"/>
        <w:outlineLvl w:val="1"/>
        <w:rPr>
          <w:rFonts w:hint="eastAsia" w:ascii="宋体"/>
          <w:sz w:val="28"/>
          <w:szCs w:val="28"/>
        </w:rPr>
      </w:pPr>
    </w:p>
    <w:p>
      <w:pPr>
        <w:jc w:val="left"/>
        <w:outlineLvl w:val="1"/>
        <w:rPr>
          <w:rFonts w:hint="eastAsia" w:ascii="宋体"/>
          <w:sz w:val="28"/>
          <w:szCs w:val="28"/>
        </w:rPr>
      </w:pPr>
    </w:p>
    <w:p>
      <w:pPr>
        <w:jc w:val="left"/>
        <w:outlineLvl w:val="1"/>
        <w:rPr>
          <w:rFonts w:hint="eastAsia" w:ascii="宋体"/>
          <w:sz w:val="28"/>
          <w:szCs w:val="28"/>
        </w:rPr>
      </w:pPr>
    </w:p>
    <w:p>
      <w:pPr>
        <w:jc w:val="left"/>
        <w:outlineLvl w:val="1"/>
        <w:rPr>
          <w:rFonts w:hint="eastAsia" w:ascii="宋体"/>
          <w:sz w:val="28"/>
          <w:szCs w:val="28"/>
        </w:rPr>
      </w:pPr>
    </w:p>
    <w:p>
      <w:pPr>
        <w:jc w:val="left"/>
        <w:outlineLvl w:val="1"/>
        <w:rPr>
          <w:rFonts w:ascii="宋体"/>
          <w:sz w:val="28"/>
          <w:szCs w:val="28"/>
        </w:rPr>
      </w:pPr>
      <w:r>
        <w:rPr>
          <w:rFonts w:hint="eastAsia" w:ascii="宋体"/>
          <w:sz w:val="28"/>
          <w:szCs w:val="28"/>
        </w:rPr>
        <w:t>附</w:t>
      </w:r>
      <w:bookmarkEnd w:id="7"/>
      <w:bookmarkEnd w:id="8"/>
      <w:bookmarkEnd w:id="9"/>
      <w:bookmarkEnd w:id="10"/>
      <w:r>
        <w:rPr>
          <w:rFonts w:hint="eastAsia" w:ascii="宋体"/>
          <w:sz w:val="28"/>
          <w:szCs w:val="28"/>
        </w:rPr>
        <w:t>表1</w:t>
      </w:r>
    </w:p>
    <w:p>
      <w:pPr>
        <w:spacing w:line="480" w:lineRule="auto"/>
        <w:jc w:val="center"/>
        <w:outlineLvl w:val="1"/>
        <w:rPr>
          <w:rFonts w:ascii="宋体"/>
          <w:b/>
          <w:sz w:val="44"/>
          <w:szCs w:val="44"/>
        </w:rPr>
      </w:pPr>
      <w:bookmarkStart w:id="11" w:name="_Toc231175116"/>
      <w:bookmarkStart w:id="12" w:name="_Toc231140183"/>
      <w:bookmarkStart w:id="13" w:name="_Toc235873692"/>
      <w:bookmarkStart w:id="14" w:name="_Toc231520686"/>
      <w:r>
        <w:rPr>
          <w:rFonts w:hint="eastAsia" w:ascii="宋体"/>
          <w:b/>
          <w:sz w:val="44"/>
          <w:szCs w:val="44"/>
        </w:rPr>
        <w:t>甲供材料单价表</w:t>
      </w:r>
      <w:bookmarkEnd w:id="11"/>
      <w:bookmarkEnd w:id="12"/>
      <w:bookmarkEnd w:id="13"/>
      <w:bookmarkEnd w:id="14"/>
    </w:p>
    <w:tbl>
      <w:tblPr>
        <w:tblStyle w:val="9"/>
        <w:tblW w:w="9391" w:type="dxa"/>
        <w:jc w:val="center"/>
        <w:tblInd w:w="0" w:type="dxa"/>
        <w:tblLayout w:type="fixed"/>
        <w:tblCellMar>
          <w:top w:w="0" w:type="dxa"/>
          <w:left w:w="108" w:type="dxa"/>
          <w:bottom w:w="0" w:type="dxa"/>
          <w:right w:w="108" w:type="dxa"/>
        </w:tblCellMar>
      </w:tblPr>
      <w:tblGrid>
        <w:gridCol w:w="2490"/>
        <w:gridCol w:w="1905"/>
        <w:gridCol w:w="992"/>
        <w:gridCol w:w="1423"/>
        <w:gridCol w:w="1128"/>
        <w:gridCol w:w="1453"/>
      </w:tblGrid>
      <w:tr>
        <w:tblPrEx>
          <w:tblLayout w:type="fixed"/>
          <w:tblCellMar>
            <w:top w:w="0" w:type="dxa"/>
            <w:left w:w="108" w:type="dxa"/>
            <w:bottom w:w="0" w:type="dxa"/>
            <w:right w:w="108" w:type="dxa"/>
          </w:tblCellMar>
        </w:tblPrEx>
        <w:trPr>
          <w:trHeight w:val="454" w:hRule="atLeast"/>
          <w:tblHeader/>
          <w:jc w:val="center"/>
        </w:trPr>
        <w:tc>
          <w:tcPr>
            <w:tcW w:w="24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kern w:val="0"/>
                <w:sz w:val="22"/>
                <w:szCs w:val="28"/>
              </w:rPr>
            </w:pPr>
            <w:r>
              <w:rPr>
                <w:rFonts w:hint="eastAsia" w:ascii="宋体" w:cs="宋体"/>
                <w:b/>
                <w:kern w:val="0"/>
                <w:sz w:val="22"/>
                <w:szCs w:val="28"/>
              </w:rPr>
              <w:t>名称</w:t>
            </w:r>
          </w:p>
        </w:tc>
        <w:tc>
          <w:tcPr>
            <w:tcW w:w="1905" w:type="dxa"/>
            <w:tcBorders>
              <w:top w:val="single" w:color="auto" w:sz="4" w:space="0"/>
              <w:left w:val="nil"/>
              <w:bottom w:val="single" w:color="auto" w:sz="4" w:space="0"/>
              <w:right w:val="single" w:color="auto" w:sz="4" w:space="0"/>
            </w:tcBorders>
            <w:noWrap/>
            <w:vAlign w:val="center"/>
          </w:tcPr>
          <w:p>
            <w:pPr>
              <w:widowControl/>
              <w:jc w:val="center"/>
              <w:rPr>
                <w:rFonts w:ascii="宋体" w:cs="宋体"/>
                <w:b/>
                <w:kern w:val="0"/>
                <w:sz w:val="22"/>
                <w:szCs w:val="28"/>
              </w:rPr>
            </w:pPr>
            <w:r>
              <w:rPr>
                <w:rFonts w:hint="eastAsia" w:ascii="宋体" w:cs="宋体"/>
                <w:b/>
                <w:kern w:val="0"/>
                <w:sz w:val="22"/>
                <w:szCs w:val="28"/>
              </w:rPr>
              <w:t>型号规格</w:t>
            </w:r>
          </w:p>
        </w:tc>
        <w:tc>
          <w:tcPr>
            <w:tcW w:w="992" w:type="dxa"/>
            <w:tcBorders>
              <w:top w:val="single" w:color="auto" w:sz="4" w:space="0"/>
              <w:left w:val="nil"/>
              <w:bottom w:val="single" w:color="auto" w:sz="4" w:space="0"/>
              <w:right w:val="single" w:color="auto" w:sz="4" w:space="0"/>
            </w:tcBorders>
            <w:noWrap/>
            <w:vAlign w:val="center"/>
          </w:tcPr>
          <w:p>
            <w:pPr>
              <w:widowControl/>
              <w:jc w:val="center"/>
              <w:rPr>
                <w:rFonts w:ascii="宋体" w:cs="宋体"/>
                <w:b/>
                <w:kern w:val="0"/>
                <w:sz w:val="22"/>
                <w:szCs w:val="28"/>
              </w:rPr>
            </w:pPr>
            <w:r>
              <w:rPr>
                <w:rFonts w:hint="eastAsia" w:ascii="宋体" w:cs="宋体"/>
                <w:b/>
                <w:kern w:val="0"/>
                <w:sz w:val="22"/>
                <w:szCs w:val="28"/>
              </w:rPr>
              <w:t>单位</w:t>
            </w:r>
          </w:p>
        </w:tc>
        <w:tc>
          <w:tcPr>
            <w:tcW w:w="1423" w:type="dxa"/>
            <w:tcBorders>
              <w:top w:val="single" w:color="auto" w:sz="4" w:space="0"/>
              <w:left w:val="nil"/>
              <w:bottom w:val="single" w:color="auto" w:sz="4" w:space="0"/>
              <w:right w:val="single" w:color="auto" w:sz="4" w:space="0"/>
            </w:tcBorders>
            <w:noWrap/>
            <w:vAlign w:val="center"/>
          </w:tcPr>
          <w:p>
            <w:pPr>
              <w:widowControl/>
              <w:jc w:val="center"/>
              <w:rPr>
                <w:rFonts w:ascii="宋体" w:cs="宋体"/>
                <w:b/>
                <w:kern w:val="0"/>
                <w:sz w:val="22"/>
                <w:szCs w:val="28"/>
              </w:rPr>
            </w:pPr>
            <w:r>
              <w:rPr>
                <w:rFonts w:hint="eastAsia" w:ascii="宋体" w:cs="宋体"/>
                <w:b/>
                <w:kern w:val="0"/>
                <w:sz w:val="22"/>
                <w:szCs w:val="28"/>
              </w:rPr>
              <w:t>单价(元）</w:t>
            </w:r>
          </w:p>
        </w:tc>
        <w:tc>
          <w:tcPr>
            <w:tcW w:w="1128" w:type="dxa"/>
            <w:tcBorders>
              <w:top w:val="single" w:color="auto" w:sz="4" w:space="0"/>
              <w:left w:val="nil"/>
              <w:bottom w:val="single" w:color="auto" w:sz="4" w:space="0"/>
              <w:right w:val="single" w:color="auto" w:sz="4" w:space="0"/>
            </w:tcBorders>
            <w:noWrap/>
            <w:vAlign w:val="center"/>
          </w:tcPr>
          <w:p>
            <w:pPr>
              <w:widowControl/>
              <w:jc w:val="center"/>
              <w:rPr>
                <w:rFonts w:ascii="宋体" w:cs="宋体"/>
                <w:b/>
                <w:kern w:val="0"/>
                <w:sz w:val="22"/>
                <w:szCs w:val="28"/>
              </w:rPr>
            </w:pPr>
            <w:r>
              <w:rPr>
                <w:rFonts w:hint="eastAsia" w:ascii="宋体" w:cs="宋体"/>
                <w:b/>
                <w:kern w:val="0"/>
                <w:sz w:val="22"/>
                <w:szCs w:val="28"/>
              </w:rPr>
              <w:t>品牌</w:t>
            </w:r>
          </w:p>
        </w:tc>
        <w:tc>
          <w:tcPr>
            <w:tcW w:w="1453" w:type="dxa"/>
            <w:tcBorders>
              <w:top w:val="single" w:color="auto" w:sz="4" w:space="0"/>
              <w:left w:val="nil"/>
              <w:bottom w:val="single" w:color="auto" w:sz="4" w:space="0"/>
              <w:right w:val="single" w:color="auto" w:sz="4" w:space="0"/>
            </w:tcBorders>
            <w:noWrap/>
            <w:vAlign w:val="center"/>
          </w:tcPr>
          <w:p>
            <w:pPr>
              <w:widowControl/>
              <w:jc w:val="center"/>
              <w:rPr>
                <w:rFonts w:ascii="宋体" w:cs="宋体"/>
                <w:b/>
                <w:kern w:val="0"/>
                <w:sz w:val="22"/>
                <w:szCs w:val="28"/>
              </w:rPr>
            </w:pPr>
            <w:r>
              <w:rPr>
                <w:rFonts w:hint="eastAsia" w:ascii="宋体" w:cs="宋体"/>
                <w:b/>
                <w:kern w:val="0"/>
                <w:sz w:val="22"/>
                <w:szCs w:val="28"/>
              </w:rPr>
              <w:t>备注</w:t>
            </w:r>
          </w:p>
        </w:tc>
      </w:tr>
      <w:tr>
        <w:tblPrEx>
          <w:tblLayout w:type="fixed"/>
          <w:tblCellMar>
            <w:top w:w="0" w:type="dxa"/>
            <w:left w:w="108" w:type="dxa"/>
            <w:bottom w:w="0" w:type="dxa"/>
            <w:right w:w="108" w:type="dxa"/>
          </w:tblCellMar>
        </w:tblPrEx>
        <w:trPr>
          <w:trHeight w:val="454" w:hRule="atLeast"/>
          <w:jc w:val="center"/>
        </w:trPr>
        <w:tc>
          <w:tcPr>
            <w:tcW w:w="249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eastAsia="宋体" w:cs="宋体"/>
                <w:kern w:val="0"/>
                <w:sz w:val="22"/>
                <w:lang w:val="en-US" w:eastAsia="zh-CN"/>
              </w:rPr>
            </w:pPr>
            <w:r>
              <w:rPr>
                <w:rFonts w:hint="eastAsia" w:ascii="宋体" w:cs="宋体"/>
                <w:kern w:val="0"/>
                <w:sz w:val="22"/>
                <w:lang w:val="en-US" w:eastAsia="zh-CN"/>
              </w:rPr>
              <w:t>C20砼</w:t>
            </w:r>
          </w:p>
        </w:tc>
        <w:tc>
          <w:tcPr>
            <w:tcW w:w="1905"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eastAsia="宋体" w:cs="宋体"/>
                <w:kern w:val="0"/>
                <w:sz w:val="22"/>
                <w:lang w:val="en-US" w:eastAsia="zh-CN"/>
              </w:rPr>
            </w:pPr>
            <w:r>
              <w:rPr>
                <w:rFonts w:hint="eastAsia" w:ascii="宋体" w:cs="宋体"/>
                <w:kern w:val="0"/>
                <w:sz w:val="22"/>
                <w:lang w:val="en-US" w:eastAsia="zh-CN"/>
              </w:rPr>
              <w:t>m³</w:t>
            </w:r>
          </w:p>
        </w:tc>
        <w:tc>
          <w:tcPr>
            <w:tcW w:w="1423" w:type="dxa"/>
            <w:tcBorders>
              <w:top w:val="nil"/>
              <w:left w:val="nil"/>
              <w:bottom w:val="single" w:color="auto" w:sz="4" w:space="0"/>
              <w:right w:val="single" w:color="auto" w:sz="4" w:space="0"/>
            </w:tcBorders>
            <w:noWrap/>
            <w:vAlign w:val="center"/>
          </w:tcPr>
          <w:p>
            <w:pPr>
              <w:widowControl/>
              <w:jc w:val="center"/>
              <w:rPr>
                <w:rFonts w:hint="eastAsia" w:ascii="宋体" w:eastAsia="宋体" w:cs="宋体"/>
                <w:kern w:val="0"/>
                <w:sz w:val="22"/>
                <w:lang w:val="en-US" w:eastAsia="zh-CN"/>
              </w:rPr>
            </w:pPr>
            <w:r>
              <w:rPr>
                <w:rFonts w:hint="eastAsia" w:ascii="宋体" w:cs="宋体"/>
                <w:kern w:val="0"/>
                <w:sz w:val="22"/>
                <w:lang w:val="en-US" w:eastAsia="zh-CN"/>
              </w:rPr>
              <w:t>350</w:t>
            </w:r>
          </w:p>
        </w:tc>
        <w:tc>
          <w:tcPr>
            <w:tcW w:w="1128"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1453"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r>
      <w:tr>
        <w:tblPrEx>
          <w:tblLayout w:type="fixed"/>
          <w:tblCellMar>
            <w:top w:w="0" w:type="dxa"/>
            <w:left w:w="108" w:type="dxa"/>
            <w:bottom w:w="0" w:type="dxa"/>
            <w:right w:w="108" w:type="dxa"/>
          </w:tblCellMar>
        </w:tblPrEx>
        <w:trPr>
          <w:trHeight w:val="424" w:hRule="atLeast"/>
          <w:jc w:val="center"/>
        </w:trPr>
        <w:tc>
          <w:tcPr>
            <w:tcW w:w="249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eastAsia="宋体" w:cs="宋体"/>
                <w:kern w:val="0"/>
                <w:sz w:val="22"/>
                <w:lang w:eastAsia="zh-CN"/>
              </w:rPr>
            </w:pPr>
            <w:r>
              <w:rPr>
                <w:rFonts w:hint="eastAsia" w:ascii="宋体" w:cs="宋体"/>
                <w:kern w:val="0"/>
                <w:sz w:val="22"/>
                <w:lang w:eastAsia="zh-CN"/>
              </w:rPr>
              <w:t>钢筋</w:t>
            </w:r>
          </w:p>
        </w:tc>
        <w:tc>
          <w:tcPr>
            <w:tcW w:w="1905"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eastAsia="宋体" w:cs="宋体"/>
                <w:kern w:val="0"/>
                <w:sz w:val="22"/>
                <w:lang w:val="en-US" w:eastAsia="zh-CN"/>
              </w:rPr>
            </w:pPr>
            <w:r>
              <w:rPr>
                <w:rFonts w:hint="eastAsia" w:ascii="宋体" w:cs="宋体"/>
                <w:kern w:val="0"/>
                <w:sz w:val="22"/>
                <w:lang w:val="en-US" w:eastAsia="zh-CN"/>
              </w:rPr>
              <w:t>t</w:t>
            </w:r>
          </w:p>
        </w:tc>
        <w:tc>
          <w:tcPr>
            <w:tcW w:w="1423" w:type="dxa"/>
            <w:tcBorders>
              <w:top w:val="nil"/>
              <w:left w:val="nil"/>
              <w:bottom w:val="single" w:color="auto" w:sz="4" w:space="0"/>
              <w:right w:val="single" w:color="auto" w:sz="4" w:space="0"/>
            </w:tcBorders>
            <w:noWrap/>
            <w:vAlign w:val="center"/>
          </w:tcPr>
          <w:p>
            <w:pPr>
              <w:widowControl/>
              <w:jc w:val="center"/>
              <w:rPr>
                <w:rFonts w:hint="eastAsia" w:ascii="宋体" w:eastAsia="宋体" w:cs="宋体"/>
                <w:kern w:val="0"/>
                <w:sz w:val="22"/>
                <w:lang w:val="en-US" w:eastAsia="zh-CN"/>
              </w:rPr>
            </w:pPr>
            <w:r>
              <w:rPr>
                <w:rFonts w:hint="eastAsia" w:ascii="宋体" w:cs="宋体"/>
                <w:kern w:val="0"/>
                <w:sz w:val="22"/>
                <w:lang w:val="en-US" w:eastAsia="zh-CN"/>
              </w:rPr>
              <w:t>4500</w:t>
            </w:r>
          </w:p>
        </w:tc>
        <w:tc>
          <w:tcPr>
            <w:tcW w:w="1128"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1453"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r>
      <w:tr>
        <w:tblPrEx>
          <w:tblLayout w:type="fixed"/>
          <w:tblCellMar>
            <w:top w:w="0" w:type="dxa"/>
            <w:left w:w="108" w:type="dxa"/>
            <w:bottom w:w="0" w:type="dxa"/>
            <w:right w:w="108" w:type="dxa"/>
          </w:tblCellMar>
        </w:tblPrEx>
        <w:trPr>
          <w:trHeight w:val="469" w:hRule="atLeast"/>
          <w:jc w:val="center"/>
        </w:trPr>
        <w:tc>
          <w:tcPr>
            <w:tcW w:w="249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eastAsia="宋体" w:cs="宋体"/>
                <w:kern w:val="0"/>
                <w:sz w:val="22"/>
                <w:lang w:eastAsia="zh-CN"/>
              </w:rPr>
            </w:pPr>
            <w:r>
              <w:rPr>
                <w:rFonts w:hint="eastAsia" w:ascii="宋体" w:cs="宋体"/>
                <w:kern w:val="0"/>
                <w:sz w:val="22"/>
                <w:lang w:eastAsia="zh-CN"/>
              </w:rPr>
              <w:t>锚杆</w:t>
            </w:r>
          </w:p>
        </w:tc>
        <w:tc>
          <w:tcPr>
            <w:tcW w:w="1905"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eastAsia="宋体" w:cs="宋体"/>
                <w:kern w:val="0"/>
                <w:sz w:val="22"/>
                <w:lang w:val="en-US" w:eastAsia="zh-CN"/>
              </w:rPr>
            </w:pPr>
            <w:r>
              <w:rPr>
                <w:rFonts w:hint="eastAsia" w:ascii="宋体" w:cs="宋体"/>
                <w:kern w:val="0"/>
                <w:sz w:val="22"/>
                <w:lang w:val="en-US" w:eastAsia="zh-CN"/>
              </w:rPr>
              <w:t>t</w:t>
            </w:r>
          </w:p>
        </w:tc>
        <w:tc>
          <w:tcPr>
            <w:tcW w:w="1423" w:type="dxa"/>
            <w:tcBorders>
              <w:top w:val="nil"/>
              <w:left w:val="nil"/>
              <w:bottom w:val="single" w:color="auto" w:sz="4" w:space="0"/>
              <w:right w:val="single" w:color="auto" w:sz="4" w:space="0"/>
            </w:tcBorders>
            <w:noWrap/>
            <w:vAlign w:val="center"/>
          </w:tcPr>
          <w:p>
            <w:pPr>
              <w:widowControl/>
              <w:jc w:val="center"/>
              <w:rPr>
                <w:rFonts w:hint="eastAsia" w:ascii="宋体" w:eastAsia="宋体" w:cs="宋体"/>
                <w:kern w:val="0"/>
                <w:sz w:val="22"/>
                <w:lang w:val="en-US" w:eastAsia="zh-CN"/>
              </w:rPr>
            </w:pPr>
            <w:r>
              <w:rPr>
                <w:rFonts w:hint="eastAsia" w:ascii="宋体" w:cs="宋体"/>
                <w:kern w:val="0"/>
                <w:sz w:val="22"/>
                <w:lang w:val="en-US" w:eastAsia="zh-CN"/>
              </w:rPr>
              <w:t>4500</w:t>
            </w:r>
          </w:p>
        </w:tc>
        <w:tc>
          <w:tcPr>
            <w:tcW w:w="1128"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1453"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r>
      <w:tr>
        <w:tblPrEx>
          <w:tblLayout w:type="fixed"/>
          <w:tblCellMar>
            <w:top w:w="0" w:type="dxa"/>
            <w:left w:w="108" w:type="dxa"/>
            <w:bottom w:w="0" w:type="dxa"/>
            <w:right w:w="108" w:type="dxa"/>
          </w:tblCellMar>
        </w:tblPrEx>
        <w:trPr>
          <w:trHeight w:val="454" w:hRule="atLeast"/>
          <w:jc w:val="center"/>
        </w:trPr>
        <w:tc>
          <w:tcPr>
            <w:tcW w:w="2490" w:type="dxa"/>
            <w:tcBorders>
              <w:top w:val="nil"/>
              <w:left w:val="single" w:color="auto" w:sz="4" w:space="0"/>
              <w:bottom w:val="single" w:color="auto" w:sz="4" w:space="0"/>
              <w:right w:val="single" w:color="auto" w:sz="4" w:space="0"/>
            </w:tcBorders>
            <w:noWrap/>
            <w:vAlign w:val="center"/>
          </w:tcPr>
          <w:p>
            <w:pPr>
              <w:widowControl/>
              <w:jc w:val="both"/>
              <w:rPr>
                <w:rFonts w:hint="eastAsia" w:ascii="宋体" w:eastAsia="宋体" w:cs="宋体"/>
                <w:kern w:val="0"/>
                <w:sz w:val="22"/>
                <w:lang w:eastAsia="zh-CN"/>
              </w:rPr>
            </w:pPr>
          </w:p>
        </w:tc>
        <w:tc>
          <w:tcPr>
            <w:tcW w:w="1905"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992" w:type="dxa"/>
            <w:tcBorders>
              <w:top w:val="nil"/>
              <w:left w:val="nil"/>
              <w:bottom w:val="single" w:color="auto" w:sz="4" w:space="0"/>
              <w:right w:val="single" w:color="auto" w:sz="4" w:space="0"/>
            </w:tcBorders>
            <w:noWrap/>
            <w:vAlign w:val="center"/>
          </w:tcPr>
          <w:p>
            <w:pPr>
              <w:widowControl/>
              <w:jc w:val="both"/>
              <w:rPr>
                <w:rFonts w:ascii="宋体" w:cs="宋体"/>
                <w:kern w:val="0"/>
                <w:sz w:val="22"/>
              </w:rPr>
            </w:pPr>
          </w:p>
        </w:tc>
        <w:tc>
          <w:tcPr>
            <w:tcW w:w="1423" w:type="dxa"/>
            <w:tcBorders>
              <w:top w:val="nil"/>
              <w:left w:val="nil"/>
              <w:bottom w:val="single" w:color="auto" w:sz="4" w:space="0"/>
              <w:right w:val="single" w:color="auto" w:sz="4" w:space="0"/>
            </w:tcBorders>
            <w:noWrap/>
            <w:vAlign w:val="center"/>
          </w:tcPr>
          <w:p>
            <w:pPr>
              <w:widowControl/>
              <w:jc w:val="right"/>
              <w:rPr>
                <w:rFonts w:ascii="宋体" w:cs="宋体"/>
                <w:kern w:val="0"/>
                <w:sz w:val="22"/>
              </w:rPr>
            </w:pPr>
          </w:p>
        </w:tc>
        <w:tc>
          <w:tcPr>
            <w:tcW w:w="1128"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1453"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r>
      <w:tr>
        <w:tblPrEx>
          <w:tblLayout w:type="fixed"/>
          <w:tblCellMar>
            <w:top w:w="0" w:type="dxa"/>
            <w:left w:w="108" w:type="dxa"/>
            <w:bottom w:w="0" w:type="dxa"/>
            <w:right w:w="108" w:type="dxa"/>
          </w:tblCellMar>
        </w:tblPrEx>
        <w:trPr>
          <w:trHeight w:val="454" w:hRule="atLeast"/>
          <w:jc w:val="center"/>
        </w:trPr>
        <w:tc>
          <w:tcPr>
            <w:tcW w:w="2490" w:type="dxa"/>
            <w:tcBorders>
              <w:top w:val="nil"/>
              <w:left w:val="single" w:color="auto" w:sz="4" w:space="0"/>
              <w:bottom w:val="single" w:color="auto" w:sz="4" w:space="0"/>
              <w:right w:val="single" w:color="auto" w:sz="4" w:space="0"/>
            </w:tcBorders>
            <w:noWrap/>
            <w:vAlign w:val="center"/>
          </w:tcPr>
          <w:p>
            <w:pPr>
              <w:widowControl/>
              <w:jc w:val="both"/>
              <w:rPr>
                <w:rFonts w:hint="eastAsia" w:ascii="宋体" w:eastAsia="宋体" w:cs="宋体"/>
                <w:kern w:val="0"/>
                <w:sz w:val="22"/>
                <w:lang w:eastAsia="zh-CN"/>
              </w:rPr>
            </w:pPr>
          </w:p>
        </w:tc>
        <w:tc>
          <w:tcPr>
            <w:tcW w:w="1905"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992"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p>
        </w:tc>
        <w:tc>
          <w:tcPr>
            <w:tcW w:w="1423" w:type="dxa"/>
            <w:tcBorders>
              <w:top w:val="nil"/>
              <w:left w:val="nil"/>
              <w:bottom w:val="single" w:color="auto" w:sz="4" w:space="0"/>
              <w:right w:val="single" w:color="auto" w:sz="4" w:space="0"/>
            </w:tcBorders>
            <w:noWrap/>
            <w:vAlign w:val="center"/>
          </w:tcPr>
          <w:p>
            <w:pPr>
              <w:widowControl/>
              <w:jc w:val="right"/>
              <w:rPr>
                <w:rFonts w:ascii="宋体" w:cs="宋体"/>
                <w:kern w:val="0"/>
                <w:sz w:val="22"/>
              </w:rPr>
            </w:pPr>
          </w:p>
        </w:tc>
        <w:tc>
          <w:tcPr>
            <w:tcW w:w="1128"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1453"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r>
      <w:tr>
        <w:tblPrEx>
          <w:tblLayout w:type="fixed"/>
          <w:tblCellMar>
            <w:top w:w="0" w:type="dxa"/>
            <w:left w:w="108" w:type="dxa"/>
            <w:bottom w:w="0" w:type="dxa"/>
            <w:right w:w="108" w:type="dxa"/>
          </w:tblCellMar>
        </w:tblPrEx>
        <w:trPr>
          <w:trHeight w:val="454" w:hRule="atLeast"/>
          <w:jc w:val="center"/>
        </w:trPr>
        <w:tc>
          <w:tcPr>
            <w:tcW w:w="2490"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22"/>
              </w:rPr>
            </w:pPr>
          </w:p>
        </w:tc>
        <w:tc>
          <w:tcPr>
            <w:tcW w:w="1905"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992" w:type="dxa"/>
            <w:tcBorders>
              <w:top w:val="nil"/>
              <w:left w:val="nil"/>
              <w:bottom w:val="single" w:color="auto" w:sz="4" w:space="0"/>
              <w:right w:val="single" w:color="auto" w:sz="4" w:space="0"/>
            </w:tcBorders>
            <w:noWrap/>
            <w:vAlign w:val="center"/>
          </w:tcPr>
          <w:p>
            <w:pPr>
              <w:widowControl/>
              <w:rPr>
                <w:rFonts w:ascii="宋体" w:cs="宋体"/>
                <w:kern w:val="0"/>
                <w:sz w:val="22"/>
              </w:rPr>
            </w:pPr>
          </w:p>
        </w:tc>
        <w:tc>
          <w:tcPr>
            <w:tcW w:w="1423" w:type="dxa"/>
            <w:tcBorders>
              <w:top w:val="nil"/>
              <w:left w:val="nil"/>
              <w:bottom w:val="single" w:color="auto" w:sz="4" w:space="0"/>
              <w:right w:val="single" w:color="auto" w:sz="4" w:space="0"/>
            </w:tcBorders>
            <w:noWrap/>
            <w:vAlign w:val="center"/>
          </w:tcPr>
          <w:p>
            <w:pPr>
              <w:widowControl/>
              <w:jc w:val="right"/>
              <w:rPr>
                <w:rFonts w:ascii="宋体" w:cs="宋体"/>
                <w:kern w:val="0"/>
                <w:sz w:val="22"/>
              </w:rPr>
            </w:pPr>
          </w:p>
        </w:tc>
        <w:tc>
          <w:tcPr>
            <w:tcW w:w="1128"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1453"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r>
      <w:tr>
        <w:tblPrEx>
          <w:tblLayout w:type="fixed"/>
          <w:tblCellMar>
            <w:top w:w="0" w:type="dxa"/>
            <w:left w:w="108" w:type="dxa"/>
            <w:bottom w:w="0" w:type="dxa"/>
            <w:right w:w="108" w:type="dxa"/>
          </w:tblCellMar>
        </w:tblPrEx>
        <w:trPr>
          <w:trHeight w:val="454" w:hRule="atLeast"/>
          <w:jc w:val="center"/>
        </w:trPr>
        <w:tc>
          <w:tcPr>
            <w:tcW w:w="2490"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22"/>
              </w:rPr>
            </w:pPr>
          </w:p>
        </w:tc>
        <w:tc>
          <w:tcPr>
            <w:tcW w:w="1905"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992" w:type="dxa"/>
            <w:tcBorders>
              <w:top w:val="nil"/>
              <w:left w:val="nil"/>
              <w:bottom w:val="single" w:color="auto" w:sz="4" w:space="0"/>
              <w:right w:val="single" w:color="auto" w:sz="4" w:space="0"/>
            </w:tcBorders>
            <w:noWrap/>
            <w:vAlign w:val="center"/>
          </w:tcPr>
          <w:p>
            <w:pPr>
              <w:widowControl/>
              <w:rPr>
                <w:rFonts w:ascii="宋体" w:cs="宋体"/>
                <w:kern w:val="0"/>
                <w:sz w:val="22"/>
              </w:rPr>
            </w:pPr>
          </w:p>
        </w:tc>
        <w:tc>
          <w:tcPr>
            <w:tcW w:w="1423" w:type="dxa"/>
            <w:tcBorders>
              <w:top w:val="nil"/>
              <w:left w:val="nil"/>
              <w:bottom w:val="single" w:color="auto" w:sz="4" w:space="0"/>
              <w:right w:val="single" w:color="auto" w:sz="4" w:space="0"/>
            </w:tcBorders>
            <w:noWrap/>
            <w:vAlign w:val="center"/>
          </w:tcPr>
          <w:p>
            <w:pPr>
              <w:widowControl/>
              <w:jc w:val="right"/>
              <w:rPr>
                <w:rFonts w:ascii="宋体" w:cs="宋体"/>
                <w:kern w:val="0"/>
                <w:sz w:val="22"/>
              </w:rPr>
            </w:pPr>
          </w:p>
        </w:tc>
        <w:tc>
          <w:tcPr>
            <w:tcW w:w="1128"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1453"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r>
      <w:tr>
        <w:tblPrEx>
          <w:tblLayout w:type="fixed"/>
          <w:tblCellMar>
            <w:top w:w="0" w:type="dxa"/>
            <w:left w:w="108" w:type="dxa"/>
            <w:bottom w:w="0" w:type="dxa"/>
            <w:right w:w="108" w:type="dxa"/>
          </w:tblCellMar>
        </w:tblPrEx>
        <w:trPr>
          <w:trHeight w:val="454" w:hRule="atLeast"/>
          <w:jc w:val="center"/>
        </w:trPr>
        <w:tc>
          <w:tcPr>
            <w:tcW w:w="2490"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22"/>
              </w:rPr>
            </w:pPr>
          </w:p>
        </w:tc>
        <w:tc>
          <w:tcPr>
            <w:tcW w:w="1905"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992" w:type="dxa"/>
            <w:tcBorders>
              <w:top w:val="nil"/>
              <w:left w:val="nil"/>
              <w:bottom w:val="single" w:color="auto" w:sz="4" w:space="0"/>
              <w:right w:val="single" w:color="auto" w:sz="4" w:space="0"/>
            </w:tcBorders>
            <w:noWrap/>
            <w:vAlign w:val="center"/>
          </w:tcPr>
          <w:p>
            <w:pPr>
              <w:widowControl/>
              <w:rPr>
                <w:rFonts w:ascii="宋体" w:cs="宋体"/>
                <w:kern w:val="0"/>
                <w:sz w:val="22"/>
              </w:rPr>
            </w:pPr>
          </w:p>
        </w:tc>
        <w:tc>
          <w:tcPr>
            <w:tcW w:w="1423" w:type="dxa"/>
            <w:tcBorders>
              <w:top w:val="nil"/>
              <w:left w:val="nil"/>
              <w:bottom w:val="single" w:color="auto" w:sz="4" w:space="0"/>
              <w:right w:val="single" w:color="auto" w:sz="4" w:space="0"/>
            </w:tcBorders>
            <w:noWrap/>
            <w:vAlign w:val="center"/>
          </w:tcPr>
          <w:p>
            <w:pPr>
              <w:widowControl/>
              <w:jc w:val="right"/>
              <w:rPr>
                <w:rFonts w:ascii="宋体" w:cs="宋体"/>
                <w:kern w:val="0"/>
                <w:sz w:val="22"/>
              </w:rPr>
            </w:pPr>
          </w:p>
        </w:tc>
        <w:tc>
          <w:tcPr>
            <w:tcW w:w="1128"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1453"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r>
      <w:tr>
        <w:tblPrEx>
          <w:tblLayout w:type="fixed"/>
          <w:tblCellMar>
            <w:top w:w="0" w:type="dxa"/>
            <w:left w:w="108" w:type="dxa"/>
            <w:bottom w:w="0" w:type="dxa"/>
            <w:right w:w="108" w:type="dxa"/>
          </w:tblCellMar>
        </w:tblPrEx>
        <w:trPr>
          <w:trHeight w:val="454" w:hRule="atLeast"/>
          <w:jc w:val="center"/>
        </w:trPr>
        <w:tc>
          <w:tcPr>
            <w:tcW w:w="2490"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22"/>
              </w:rPr>
            </w:pPr>
          </w:p>
        </w:tc>
        <w:tc>
          <w:tcPr>
            <w:tcW w:w="1905"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992" w:type="dxa"/>
            <w:tcBorders>
              <w:top w:val="nil"/>
              <w:left w:val="nil"/>
              <w:bottom w:val="single" w:color="auto" w:sz="4" w:space="0"/>
              <w:right w:val="single" w:color="auto" w:sz="4" w:space="0"/>
            </w:tcBorders>
            <w:noWrap/>
            <w:vAlign w:val="center"/>
          </w:tcPr>
          <w:p>
            <w:pPr>
              <w:widowControl/>
              <w:rPr>
                <w:rFonts w:ascii="宋体" w:cs="宋体"/>
                <w:kern w:val="0"/>
                <w:sz w:val="22"/>
              </w:rPr>
            </w:pPr>
          </w:p>
        </w:tc>
        <w:tc>
          <w:tcPr>
            <w:tcW w:w="1423" w:type="dxa"/>
            <w:tcBorders>
              <w:top w:val="nil"/>
              <w:left w:val="nil"/>
              <w:bottom w:val="single" w:color="auto" w:sz="4" w:space="0"/>
              <w:right w:val="single" w:color="auto" w:sz="4" w:space="0"/>
            </w:tcBorders>
            <w:noWrap/>
            <w:vAlign w:val="center"/>
          </w:tcPr>
          <w:p>
            <w:pPr>
              <w:widowControl/>
              <w:jc w:val="right"/>
              <w:rPr>
                <w:rFonts w:ascii="宋体" w:cs="宋体"/>
                <w:kern w:val="0"/>
                <w:sz w:val="22"/>
              </w:rPr>
            </w:pPr>
          </w:p>
        </w:tc>
        <w:tc>
          <w:tcPr>
            <w:tcW w:w="1128"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1453"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r>
      <w:tr>
        <w:tblPrEx>
          <w:tblLayout w:type="fixed"/>
          <w:tblCellMar>
            <w:top w:w="0" w:type="dxa"/>
            <w:left w:w="108" w:type="dxa"/>
            <w:bottom w:w="0" w:type="dxa"/>
            <w:right w:w="108" w:type="dxa"/>
          </w:tblCellMar>
        </w:tblPrEx>
        <w:trPr>
          <w:trHeight w:val="454" w:hRule="atLeast"/>
          <w:jc w:val="center"/>
        </w:trPr>
        <w:tc>
          <w:tcPr>
            <w:tcW w:w="2490"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22"/>
              </w:rPr>
            </w:pPr>
          </w:p>
        </w:tc>
        <w:tc>
          <w:tcPr>
            <w:tcW w:w="1905"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992" w:type="dxa"/>
            <w:tcBorders>
              <w:top w:val="nil"/>
              <w:left w:val="nil"/>
              <w:bottom w:val="single" w:color="auto" w:sz="4" w:space="0"/>
              <w:right w:val="single" w:color="auto" w:sz="4" w:space="0"/>
            </w:tcBorders>
            <w:noWrap/>
            <w:vAlign w:val="center"/>
          </w:tcPr>
          <w:p>
            <w:pPr>
              <w:widowControl/>
              <w:rPr>
                <w:rFonts w:ascii="宋体" w:cs="宋体"/>
                <w:kern w:val="0"/>
                <w:sz w:val="22"/>
              </w:rPr>
            </w:pPr>
          </w:p>
        </w:tc>
        <w:tc>
          <w:tcPr>
            <w:tcW w:w="1423" w:type="dxa"/>
            <w:tcBorders>
              <w:top w:val="nil"/>
              <w:left w:val="nil"/>
              <w:bottom w:val="single" w:color="auto" w:sz="4" w:space="0"/>
              <w:right w:val="single" w:color="auto" w:sz="4" w:space="0"/>
            </w:tcBorders>
            <w:noWrap/>
            <w:vAlign w:val="center"/>
          </w:tcPr>
          <w:p>
            <w:pPr>
              <w:widowControl/>
              <w:jc w:val="right"/>
              <w:rPr>
                <w:rFonts w:ascii="宋体" w:cs="宋体"/>
                <w:kern w:val="0"/>
                <w:sz w:val="22"/>
              </w:rPr>
            </w:pPr>
          </w:p>
        </w:tc>
        <w:tc>
          <w:tcPr>
            <w:tcW w:w="1128"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1453"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r>
      <w:tr>
        <w:tblPrEx>
          <w:tblLayout w:type="fixed"/>
          <w:tblCellMar>
            <w:top w:w="0" w:type="dxa"/>
            <w:left w:w="108" w:type="dxa"/>
            <w:bottom w:w="0" w:type="dxa"/>
            <w:right w:w="108" w:type="dxa"/>
          </w:tblCellMar>
        </w:tblPrEx>
        <w:trPr>
          <w:trHeight w:val="454" w:hRule="atLeast"/>
          <w:jc w:val="center"/>
        </w:trPr>
        <w:tc>
          <w:tcPr>
            <w:tcW w:w="2490"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22"/>
              </w:rPr>
            </w:pPr>
          </w:p>
        </w:tc>
        <w:tc>
          <w:tcPr>
            <w:tcW w:w="1905"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992" w:type="dxa"/>
            <w:tcBorders>
              <w:top w:val="nil"/>
              <w:left w:val="nil"/>
              <w:bottom w:val="single" w:color="auto" w:sz="4" w:space="0"/>
              <w:right w:val="single" w:color="auto" w:sz="4" w:space="0"/>
            </w:tcBorders>
            <w:noWrap/>
            <w:vAlign w:val="center"/>
          </w:tcPr>
          <w:p>
            <w:pPr>
              <w:widowControl/>
              <w:rPr>
                <w:rFonts w:ascii="宋体" w:cs="宋体"/>
                <w:kern w:val="0"/>
                <w:sz w:val="22"/>
              </w:rPr>
            </w:pPr>
          </w:p>
        </w:tc>
        <w:tc>
          <w:tcPr>
            <w:tcW w:w="1423" w:type="dxa"/>
            <w:tcBorders>
              <w:top w:val="nil"/>
              <w:left w:val="nil"/>
              <w:bottom w:val="single" w:color="auto" w:sz="4" w:space="0"/>
              <w:right w:val="single" w:color="auto" w:sz="4" w:space="0"/>
            </w:tcBorders>
            <w:noWrap/>
            <w:vAlign w:val="center"/>
          </w:tcPr>
          <w:p>
            <w:pPr>
              <w:widowControl/>
              <w:jc w:val="right"/>
              <w:rPr>
                <w:rFonts w:ascii="宋体" w:cs="宋体"/>
                <w:kern w:val="0"/>
                <w:sz w:val="22"/>
              </w:rPr>
            </w:pPr>
          </w:p>
        </w:tc>
        <w:tc>
          <w:tcPr>
            <w:tcW w:w="1128"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1453"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r>
      <w:tr>
        <w:tblPrEx>
          <w:tblLayout w:type="fixed"/>
          <w:tblCellMar>
            <w:top w:w="0" w:type="dxa"/>
            <w:left w:w="108" w:type="dxa"/>
            <w:bottom w:w="0" w:type="dxa"/>
            <w:right w:w="108" w:type="dxa"/>
          </w:tblCellMar>
        </w:tblPrEx>
        <w:trPr>
          <w:trHeight w:val="454" w:hRule="atLeast"/>
          <w:jc w:val="center"/>
        </w:trPr>
        <w:tc>
          <w:tcPr>
            <w:tcW w:w="2490" w:type="dxa"/>
            <w:tcBorders>
              <w:top w:val="nil"/>
              <w:left w:val="single" w:color="auto" w:sz="4" w:space="0"/>
              <w:bottom w:val="single" w:color="auto" w:sz="4" w:space="0"/>
              <w:right w:val="single" w:color="auto" w:sz="4" w:space="0"/>
            </w:tcBorders>
            <w:noWrap/>
            <w:vAlign w:val="center"/>
          </w:tcPr>
          <w:p>
            <w:pPr>
              <w:rPr>
                <w:rFonts w:ascii="宋体" w:cs="宋体"/>
                <w:sz w:val="24"/>
              </w:rPr>
            </w:pPr>
          </w:p>
        </w:tc>
        <w:tc>
          <w:tcPr>
            <w:tcW w:w="1905"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992" w:type="dxa"/>
            <w:tcBorders>
              <w:top w:val="nil"/>
              <w:left w:val="nil"/>
              <w:bottom w:val="single" w:color="auto" w:sz="4" w:space="0"/>
              <w:right w:val="single" w:color="auto" w:sz="4" w:space="0"/>
            </w:tcBorders>
            <w:noWrap/>
            <w:vAlign w:val="center"/>
          </w:tcPr>
          <w:p>
            <w:pPr>
              <w:widowControl/>
              <w:rPr>
                <w:rFonts w:ascii="宋体" w:cs="宋体"/>
                <w:kern w:val="0"/>
                <w:sz w:val="22"/>
              </w:rPr>
            </w:pPr>
          </w:p>
        </w:tc>
        <w:tc>
          <w:tcPr>
            <w:tcW w:w="1423" w:type="dxa"/>
            <w:tcBorders>
              <w:top w:val="nil"/>
              <w:left w:val="nil"/>
              <w:bottom w:val="single" w:color="auto" w:sz="4" w:space="0"/>
              <w:right w:val="single" w:color="auto" w:sz="4" w:space="0"/>
            </w:tcBorders>
            <w:noWrap/>
            <w:vAlign w:val="bottom"/>
          </w:tcPr>
          <w:p>
            <w:pPr>
              <w:jc w:val="right"/>
              <w:rPr>
                <w:rFonts w:ascii="宋体" w:cs="宋体"/>
                <w:sz w:val="24"/>
              </w:rPr>
            </w:pPr>
          </w:p>
        </w:tc>
        <w:tc>
          <w:tcPr>
            <w:tcW w:w="1128"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1453"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r>
      <w:tr>
        <w:tblPrEx>
          <w:tblLayout w:type="fixed"/>
          <w:tblCellMar>
            <w:top w:w="0" w:type="dxa"/>
            <w:left w:w="108" w:type="dxa"/>
            <w:bottom w:w="0" w:type="dxa"/>
            <w:right w:w="108" w:type="dxa"/>
          </w:tblCellMar>
        </w:tblPrEx>
        <w:trPr>
          <w:trHeight w:val="454" w:hRule="atLeast"/>
          <w:jc w:val="center"/>
        </w:trPr>
        <w:tc>
          <w:tcPr>
            <w:tcW w:w="2490" w:type="dxa"/>
            <w:tcBorders>
              <w:top w:val="nil"/>
              <w:left w:val="single" w:color="auto" w:sz="4" w:space="0"/>
              <w:bottom w:val="single" w:color="auto" w:sz="4" w:space="0"/>
              <w:right w:val="single" w:color="auto" w:sz="4" w:space="0"/>
            </w:tcBorders>
            <w:noWrap/>
            <w:vAlign w:val="center"/>
          </w:tcPr>
          <w:p/>
        </w:tc>
        <w:tc>
          <w:tcPr>
            <w:tcW w:w="1905"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992" w:type="dxa"/>
            <w:tcBorders>
              <w:top w:val="nil"/>
              <w:left w:val="nil"/>
              <w:bottom w:val="single" w:color="auto" w:sz="4" w:space="0"/>
              <w:right w:val="single" w:color="auto" w:sz="4" w:space="0"/>
            </w:tcBorders>
            <w:noWrap/>
            <w:vAlign w:val="center"/>
          </w:tcPr>
          <w:p>
            <w:pPr>
              <w:widowControl/>
            </w:pPr>
          </w:p>
        </w:tc>
        <w:tc>
          <w:tcPr>
            <w:tcW w:w="1423" w:type="dxa"/>
            <w:tcBorders>
              <w:top w:val="nil"/>
              <w:left w:val="nil"/>
              <w:bottom w:val="single" w:color="auto" w:sz="4" w:space="0"/>
              <w:right w:val="single" w:color="auto" w:sz="4" w:space="0"/>
            </w:tcBorders>
            <w:noWrap/>
            <w:vAlign w:val="bottom"/>
          </w:tcPr>
          <w:p>
            <w:pPr>
              <w:jc w:val="right"/>
              <w:rPr>
                <w:rFonts w:ascii="宋体" w:cs="宋体"/>
                <w:sz w:val="24"/>
              </w:rPr>
            </w:pPr>
          </w:p>
        </w:tc>
        <w:tc>
          <w:tcPr>
            <w:tcW w:w="1128"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1453"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r>
      <w:tr>
        <w:tblPrEx>
          <w:tblLayout w:type="fixed"/>
          <w:tblCellMar>
            <w:top w:w="0" w:type="dxa"/>
            <w:left w:w="108" w:type="dxa"/>
            <w:bottom w:w="0" w:type="dxa"/>
            <w:right w:w="108" w:type="dxa"/>
          </w:tblCellMar>
        </w:tblPrEx>
        <w:trPr>
          <w:trHeight w:val="454" w:hRule="atLeast"/>
          <w:jc w:val="center"/>
        </w:trPr>
        <w:tc>
          <w:tcPr>
            <w:tcW w:w="2490" w:type="dxa"/>
            <w:tcBorders>
              <w:top w:val="nil"/>
              <w:left w:val="single" w:color="auto" w:sz="4" w:space="0"/>
              <w:bottom w:val="single" w:color="auto" w:sz="4" w:space="0"/>
              <w:right w:val="single" w:color="auto" w:sz="4" w:space="0"/>
            </w:tcBorders>
            <w:noWrap/>
            <w:vAlign w:val="center"/>
          </w:tcPr>
          <w:p>
            <w:pPr>
              <w:rPr>
                <w:rFonts w:ascii="宋体" w:cs="宋体"/>
                <w:sz w:val="24"/>
              </w:rPr>
            </w:pPr>
          </w:p>
        </w:tc>
        <w:tc>
          <w:tcPr>
            <w:tcW w:w="1905"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992" w:type="dxa"/>
            <w:tcBorders>
              <w:top w:val="nil"/>
              <w:left w:val="nil"/>
              <w:bottom w:val="single" w:color="auto" w:sz="4" w:space="0"/>
              <w:right w:val="single" w:color="auto" w:sz="4" w:space="0"/>
            </w:tcBorders>
            <w:noWrap/>
            <w:vAlign w:val="center"/>
          </w:tcPr>
          <w:p>
            <w:pPr>
              <w:widowControl/>
              <w:rPr>
                <w:rFonts w:ascii="宋体" w:cs="宋体"/>
                <w:kern w:val="0"/>
                <w:sz w:val="22"/>
              </w:rPr>
            </w:pPr>
          </w:p>
        </w:tc>
        <w:tc>
          <w:tcPr>
            <w:tcW w:w="1423" w:type="dxa"/>
            <w:tcBorders>
              <w:top w:val="nil"/>
              <w:left w:val="nil"/>
              <w:bottom w:val="single" w:color="auto" w:sz="4" w:space="0"/>
              <w:right w:val="single" w:color="auto" w:sz="4" w:space="0"/>
            </w:tcBorders>
            <w:noWrap/>
            <w:vAlign w:val="bottom"/>
          </w:tcPr>
          <w:p>
            <w:pPr>
              <w:jc w:val="right"/>
              <w:rPr>
                <w:rFonts w:ascii="宋体" w:cs="宋体"/>
                <w:sz w:val="24"/>
              </w:rPr>
            </w:pPr>
          </w:p>
        </w:tc>
        <w:tc>
          <w:tcPr>
            <w:tcW w:w="1128"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1453"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r>
      <w:tr>
        <w:tblPrEx>
          <w:tblLayout w:type="fixed"/>
          <w:tblCellMar>
            <w:top w:w="0" w:type="dxa"/>
            <w:left w:w="108" w:type="dxa"/>
            <w:bottom w:w="0" w:type="dxa"/>
            <w:right w:w="108" w:type="dxa"/>
          </w:tblCellMar>
        </w:tblPrEx>
        <w:trPr>
          <w:trHeight w:val="454" w:hRule="atLeast"/>
          <w:jc w:val="center"/>
        </w:trPr>
        <w:tc>
          <w:tcPr>
            <w:tcW w:w="2490" w:type="dxa"/>
            <w:tcBorders>
              <w:top w:val="nil"/>
              <w:left w:val="single" w:color="auto" w:sz="4" w:space="0"/>
              <w:bottom w:val="single" w:color="auto" w:sz="4" w:space="0"/>
              <w:right w:val="single" w:color="auto" w:sz="4" w:space="0"/>
            </w:tcBorders>
            <w:noWrap/>
            <w:vAlign w:val="center"/>
          </w:tcPr>
          <w:p>
            <w:pPr>
              <w:rPr>
                <w:rFonts w:ascii="宋体" w:cs="宋体"/>
                <w:sz w:val="24"/>
              </w:rPr>
            </w:pPr>
          </w:p>
        </w:tc>
        <w:tc>
          <w:tcPr>
            <w:tcW w:w="1905"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992" w:type="dxa"/>
            <w:tcBorders>
              <w:top w:val="nil"/>
              <w:left w:val="nil"/>
              <w:bottom w:val="single" w:color="auto" w:sz="4" w:space="0"/>
              <w:right w:val="single" w:color="auto" w:sz="4" w:space="0"/>
            </w:tcBorders>
            <w:noWrap/>
            <w:vAlign w:val="center"/>
          </w:tcPr>
          <w:p>
            <w:pPr>
              <w:widowControl/>
              <w:rPr>
                <w:rFonts w:ascii="宋体" w:cs="宋体"/>
                <w:kern w:val="0"/>
                <w:sz w:val="22"/>
              </w:rPr>
            </w:pPr>
          </w:p>
        </w:tc>
        <w:tc>
          <w:tcPr>
            <w:tcW w:w="1423" w:type="dxa"/>
            <w:tcBorders>
              <w:top w:val="nil"/>
              <w:left w:val="nil"/>
              <w:bottom w:val="single" w:color="auto" w:sz="4" w:space="0"/>
              <w:right w:val="single" w:color="auto" w:sz="4" w:space="0"/>
            </w:tcBorders>
            <w:noWrap/>
            <w:vAlign w:val="bottom"/>
          </w:tcPr>
          <w:p>
            <w:pPr>
              <w:jc w:val="right"/>
              <w:rPr>
                <w:rFonts w:ascii="宋体" w:cs="宋体"/>
                <w:sz w:val="24"/>
              </w:rPr>
            </w:pPr>
          </w:p>
        </w:tc>
        <w:tc>
          <w:tcPr>
            <w:tcW w:w="1128"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1453"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r>
      <w:tr>
        <w:tblPrEx>
          <w:tblLayout w:type="fixed"/>
          <w:tblCellMar>
            <w:top w:w="0" w:type="dxa"/>
            <w:left w:w="108" w:type="dxa"/>
            <w:bottom w:w="0" w:type="dxa"/>
            <w:right w:w="108" w:type="dxa"/>
          </w:tblCellMar>
        </w:tblPrEx>
        <w:trPr>
          <w:trHeight w:val="454" w:hRule="atLeast"/>
          <w:jc w:val="center"/>
        </w:trPr>
        <w:tc>
          <w:tcPr>
            <w:tcW w:w="2490" w:type="dxa"/>
            <w:tcBorders>
              <w:top w:val="nil"/>
              <w:left w:val="single" w:color="auto" w:sz="4" w:space="0"/>
              <w:bottom w:val="single" w:color="auto" w:sz="4" w:space="0"/>
              <w:right w:val="single" w:color="auto" w:sz="4" w:space="0"/>
            </w:tcBorders>
            <w:noWrap/>
            <w:vAlign w:val="center"/>
          </w:tcPr>
          <w:p>
            <w:pPr>
              <w:rPr>
                <w:rFonts w:ascii="宋体" w:cs="宋体"/>
                <w:sz w:val="24"/>
              </w:rPr>
            </w:pPr>
          </w:p>
        </w:tc>
        <w:tc>
          <w:tcPr>
            <w:tcW w:w="1905"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992" w:type="dxa"/>
            <w:tcBorders>
              <w:top w:val="nil"/>
              <w:left w:val="nil"/>
              <w:bottom w:val="single" w:color="auto" w:sz="4" w:space="0"/>
              <w:right w:val="single" w:color="auto" w:sz="4" w:space="0"/>
            </w:tcBorders>
            <w:noWrap/>
            <w:vAlign w:val="center"/>
          </w:tcPr>
          <w:p>
            <w:pPr>
              <w:widowControl/>
              <w:rPr>
                <w:rFonts w:ascii="宋体" w:cs="宋体"/>
                <w:kern w:val="0"/>
                <w:sz w:val="22"/>
              </w:rPr>
            </w:pPr>
          </w:p>
        </w:tc>
        <w:tc>
          <w:tcPr>
            <w:tcW w:w="1423" w:type="dxa"/>
            <w:tcBorders>
              <w:top w:val="nil"/>
              <w:left w:val="nil"/>
              <w:bottom w:val="single" w:color="auto" w:sz="4" w:space="0"/>
              <w:right w:val="single" w:color="auto" w:sz="4" w:space="0"/>
            </w:tcBorders>
            <w:noWrap/>
            <w:vAlign w:val="bottom"/>
          </w:tcPr>
          <w:p>
            <w:pPr>
              <w:jc w:val="right"/>
              <w:rPr>
                <w:rFonts w:ascii="宋体" w:cs="宋体"/>
                <w:sz w:val="24"/>
              </w:rPr>
            </w:pPr>
          </w:p>
        </w:tc>
        <w:tc>
          <w:tcPr>
            <w:tcW w:w="1128"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1453"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r>
      <w:tr>
        <w:tblPrEx>
          <w:tblLayout w:type="fixed"/>
          <w:tblCellMar>
            <w:top w:w="0" w:type="dxa"/>
            <w:left w:w="108" w:type="dxa"/>
            <w:bottom w:w="0" w:type="dxa"/>
            <w:right w:w="108" w:type="dxa"/>
          </w:tblCellMar>
        </w:tblPrEx>
        <w:trPr>
          <w:trHeight w:val="454" w:hRule="atLeast"/>
          <w:jc w:val="center"/>
        </w:trPr>
        <w:tc>
          <w:tcPr>
            <w:tcW w:w="2490" w:type="dxa"/>
            <w:tcBorders>
              <w:top w:val="nil"/>
              <w:left w:val="single" w:color="auto" w:sz="4" w:space="0"/>
              <w:bottom w:val="single" w:color="auto" w:sz="4" w:space="0"/>
              <w:right w:val="single" w:color="auto" w:sz="4" w:space="0"/>
            </w:tcBorders>
            <w:noWrap/>
            <w:vAlign w:val="center"/>
          </w:tcPr>
          <w:p>
            <w:pPr>
              <w:rPr>
                <w:rFonts w:ascii="宋体" w:cs="宋体"/>
                <w:sz w:val="24"/>
              </w:rPr>
            </w:pPr>
          </w:p>
        </w:tc>
        <w:tc>
          <w:tcPr>
            <w:tcW w:w="1905"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992" w:type="dxa"/>
            <w:tcBorders>
              <w:top w:val="nil"/>
              <w:left w:val="nil"/>
              <w:bottom w:val="single" w:color="auto" w:sz="4" w:space="0"/>
              <w:right w:val="single" w:color="auto" w:sz="4" w:space="0"/>
            </w:tcBorders>
            <w:noWrap/>
            <w:vAlign w:val="center"/>
          </w:tcPr>
          <w:p>
            <w:pPr>
              <w:widowControl/>
              <w:rPr>
                <w:rFonts w:ascii="宋体" w:cs="宋体"/>
                <w:kern w:val="0"/>
                <w:sz w:val="22"/>
              </w:rPr>
            </w:pPr>
          </w:p>
        </w:tc>
        <w:tc>
          <w:tcPr>
            <w:tcW w:w="1423" w:type="dxa"/>
            <w:tcBorders>
              <w:top w:val="nil"/>
              <w:left w:val="nil"/>
              <w:bottom w:val="single" w:color="auto" w:sz="4" w:space="0"/>
              <w:right w:val="single" w:color="auto" w:sz="4" w:space="0"/>
            </w:tcBorders>
            <w:noWrap/>
            <w:vAlign w:val="bottom"/>
          </w:tcPr>
          <w:p>
            <w:pPr>
              <w:jc w:val="right"/>
              <w:rPr>
                <w:rFonts w:ascii="宋体" w:cs="宋体"/>
                <w:sz w:val="24"/>
              </w:rPr>
            </w:pPr>
          </w:p>
        </w:tc>
        <w:tc>
          <w:tcPr>
            <w:tcW w:w="1128"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1453"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r>
      <w:tr>
        <w:tblPrEx>
          <w:tblLayout w:type="fixed"/>
          <w:tblCellMar>
            <w:top w:w="0" w:type="dxa"/>
            <w:left w:w="108" w:type="dxa"/>
            <w:bottom w:w="0" w:type="dxa"/>
            <w:right w:w="108" w:type="dxa"/>
          </w:tblCellMar>
        </w:tblPrEx>
        <w:trPr>
          <w:trHeight w:val="454" w:hRule="atLeast"/>
          <w:jc w:val="center"/>
        </w:trPr>
        <w:tc>
          <w:tcPr>
            <w:tcW w:w="2490" w:type="dxa"/>
            <w:tcBorders>
              <w:top w:val="nil"/>
              <w:left w:val="single" w:color="auto" w:sz="4" w:space="0"/>
              <w:bottom w:val="single" w:color="auto" w:sz="4" w:space="0"/>
              <w:right w:val="single" w:color="auto" w:sz="4" w:space="0"/>
            </w:tcBorders>
            <w:noWrap/>
            <w:vAlign w:val="center"/>
          </w:tcPr>
          <w:p>
            <w:pPr>
              <w:rPr>
                <w:rFonts w:ascii="宋体" w:cs="宋体"/>
                <w:sz w:val="24"/>
              </w:rPr>
            </w:pPr>
          </w:p>
        </w:tc>
        <w:tc>
          <w:tcPr>
            <w:tcW w:w="1905"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992" w:type="dxa"/>
            <w:tcBorders>
              <w:top w:val="nil"/>
              <w:left w:val="nil"/>
              <w:bottom w:val="single" w:color="auto" w:sz="4" w:space="0"/>
              <w:right w:val="single" w:color="auto" w:sz="4" w:space="0"/>
            </w:tcBorders>
            <w:noWrap/>
            <w:vAlign w:val="center"/>
          </w:tcPr>
          <w:p>
            <w:pPr>
              <w:widowControl/>
              <w:rPr>
                <w:rFonts w:ascii="宋体" w:cs="宋体"/>
                <w:kern w:val="0"/>
                <w:sz w:val="22"/>
              </w:rPr>
            </w:pPr>
          </w:p>
        </w:tc>
        <w:tc>
          <w:tcPr>
            <w:tcW w:w="1423" w:type="dxa"/>
            <w:tcBorders>
              <w:top w:val="nil"/>
              <w:left w:val="nil"/>
              <w:bottom w:val="single" w:color="auto" w:sz="4" w:space="0"/>
              <w:right w:val="single" w:color="auto" w:sz="4" w:space="0"/>
            </w:tcBorders>
            <w:noWrap/>
            <w:vAlign w:val="bottom"/>
          </w:tcPr>
          <w:p>
            <w:pPr>
              <w:jc w:val="right"/>
              <w:rPr>
                <w:rFonts w:ascii="宋体" w:cs="宋体"/>
                <w:sz w:val="24"/>
              </w:rPr>
            </w:pPr>
          </w:p>
        </w:tc>
        <w:tc>
          <w:tcPr>
            <w:tcW w:w="1128"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1453"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r>
      <w:tr>
        <w:tblPrEx>
          <w:tblLayout w:type="fixed"/>
          <w:tblCellMar>
            <w:top w:w="0" w:type="dxa"/>
            <w:left w:w="108" w:type="dxa"/>
            <w:bottom w:w="0" w:type="dxa"/>
            <w:right w:w="108" w:type="dxa"/>
          </w:tblCellMar>
        </w:tblPrEx>
        <w:trPr>
          <w:trHeight w:val="454" w:hRule="atLeast"/>
          <w:jc w:val="center"/>
        </w:trPr>
        <w:tc>
          <w:tcPr>
            <w:tcW w:w="2490" w:type="dxa"/>
            <w:tcBorders>
              <w:top w:val="nil"/>
              <w:left w:val="single" w:color="auto" w:sz="4" w:space="0"/>
              <w:bottom w:val="single" w:color="auto" w:sz="4" w:space="0"/>
              <w:right w:val="single" w:color="auto" w:sz="4" w:space="0"/>
            </w:tcBorders>
            <w:noWrap/>
            <w:vAlign w:val="center"/>
          </w:tcPr>
          <w:p>
            <w:pPr>
              <w:rPr>
                <w:rFonts w:ascii="宋体" w:cs="宋体"/>
                <w:sz w:val="24"/>
              </w:rPr>
            </w:pPr>
          </w:p>
        </w:tc>
        <w:tc>
          <w:tcPr>
            <w:tcW w:w="1905"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992" w:type="dxa"/>
            <w:tcBorders>
              <w:top w:val="nil"/>
              <w:left w:val="nil"/>
              <w:bottom w:val="single" w:color="auto" w:sz="4" w:space="0"/>
              <w:right w:val="single" w:color="auto" w:sz="4" w:space="0"/>
            </w:tcBorders>
            <w:noWrap/>
            <w:vAlign w:val="center"/>
          </w:tcPr>
          <w:p>
            <w:pPr>
              <w:widowControl/>
              <w:rPr>
                <w:rFonts w:ascii="宋体" w:cs="宋体"/>
                <w:kern w:val="0"/>
                <w:sz w:val="22"/>
              </w:rPr>
            </w:pPr>
          </w:p>
        </w:tc>
        <w:tc>
          <w:tcPr>
            <w:tcW w:w="1423" w:type="dxa"/>
            <w:tcBorders>
              <w:top w:val="nil"/>
              <w:left w:val="nil"/>
              <w:bottom w:val="single" w:color="auto" w:sz="4" w:space="0"/>
              <w:right w:val="single" w:color="auto" w:sz="4" w:space="0"/>
            </w:tcBorders>
            <w:noWrap/>
            <w:vAlign w:val="bottom"/>
          </w:tcPr>
          <w:p>
            <w:pPr>
              <w:jc w:val="right"/>
              <w:rPr>
                <w:rFonts w:ascii="宋体" w:cs="宋体"/>
                <w:sz w:val="24"/>
              </w:rPr>
            </w:pPr>
          </w:p>
        </w:tc>
        <w:tc>
          <w:tcPr>
            <w:tcW w:w="1128"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1453"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r>
      <w:tr>
        <w:tblPrEx>
          <w:tblLayout w:type="fixed"/>
          <w:tblCellMar>
            <w:top w:w="0" w:type="dxa"/>
            <w:left w:w="108" w:type="dxa"/>
            <w:bottom w:w="0" w:type="dxa"/>
            <w:right w:w="108" w:type="dxa"/>
          </w:tblCellMar>
        </w:tblPrEx>
        <w:trPr>
          <w:trHeight w:val="454" w:hRule="atLeast"/>
          <w:jc w:val="center"/>
        </w:trPr>
        <w:tc>
          <w:tcPr>
            <w:tcW w:w="2490" w:type="dxa"/>
            <w:tcBorders>
              <w:top w:val="nil"/>
              <w:left w:val="single" w:color="auto" w:sz="4" w:space="0"/>
              <w:bottom w:val="single" w:color="auto" w:sz="4" w:space="0"/>
              <w:right w:val="single" w:color="auto" w:sz="4" w:space="0"/>
            </w:tcBorders>
            <w:noWrap/>
            <w:vAlign w:val="center"/>
          </w:tcPr>
          <w:p>
            <w:pPr>
              <w:rPr>
                <w:rFonts w:ascii="宋体" w:cs="宋体"/>
                <w:sz w:val="24"/>
              </w:rPr>
            </w:pPr>
          </w:p>
        </w:tc>
        <w:tc>
          <w:tcPr>
            <w:tcW w:w="1905"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992" w:type="dxa"/>
            <w:tcBorders>
              <w:top w:val="nil"/>
              <w:left w:val="nil"/>
              <w:bottom w:val="single" w:color="auto" w:sz="4" w:space="0"/>
              <w:right w:val="single" w:color="auto" w:sz="4" w:space="0"/>
            </w:tcBorders>
            <w:noWrap/>
            <w:vAlign w:val="center"/>
          </w:tcPr>
          <w:p>
            <w:pPr>
              <w:widowControl/>
              <w:rPr>
                <w:rFonts w:ascii="宋体" w:cs="宋体"/>
                <w:kern w:val="0"/>
                <w:sz w:val="22"/>
              </w:rPr>
            </w:pPr>
          </w:p>
        </w:tc>
        <w:tc>
          <w:tcPr>
            <w:tcW w:w="1423" w:type="dxa"/>
            <w:tcBorders>
              <w:top w:val="nil"/>
              <w:left w:val="nil"/>
              <w:bottom w:val="single" w:color="auto" w:sz="4" w:space="0"/>
              <w:right w:val="single" w:color="auto" w:sz="4" w:space="0"/>
            </w:tcBorders>
            <w:noWrap/>
            <w:vAlign w:val="bottom"/>
          </w:tcPr>
          <w:p>
            <w:pPr>
              <w:jc w:val="right"/>
              <w:rPr>
                <w:rFonts w:ascii="宋体" w:cs="宋体"/>
                <w:sz w:val="24"/>
              </w:rPr>
            </w:pPr>
          </w:p>
        </w:tc>
        <w:tc>
          <w:tcPr>
            <w:tcW w:w="1128"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1453"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r>
      <w:tr>
        <w:tblPrEx>
          <w:tblLayout w:type="fixed"/>
          <w:tblCellMar>
            <w:top w:w="0" w:type="dxa"/>
            <w:left w:w="108" w:type="dxa"/>
            <w:bottom w:w="0" w:type="dxa"/>
            <w:right w:w="108" w:type="dxa"/>
          </w:tblCellMar>
        </w:tblPrEx>
        <w:trPr>
          <w:trHeight w:val="454" w:hRule="atLeast"/>
          <w:jc w:val="center"/>
        </w:trPr>
        <w:tc>
          <w:tcPr>
            <w:tcW w:w="2490" w:type="dxa"/>
            <w:tcBorders>
              <w:top w:val="nil"/>
              <w:left w:val="single" w:color="auto" w:sz="4" w:space="0"/>
              <w:bottom w:val="single" w:color="auto" w:sz="4" w:space="0"/>
              <w:right w:val="single" w:color="auto" w:sz="4" w:space="0"/>
            </w:tcBorders>
            <w:noWrap/>
            <w:vAlign w:val="center"/>
          </w:tcPr>
          <w:p>
            <w:pPr>
              <w:rPr>
                <w:rFonts w:ascii="宋体" w:cs="宋体"/>
                <w:sz w:val="24"/>
              </w:rPr>
            </w:pPr>
          </w:p>
        </w:tc>
        <w:tc>
          <w:tcPr>
            <w:tcW w:w="1905"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992" w:type="dxa"/>
            <w:tcBorders>
              <w:top w:val="nil"/>
              <w:left w:val="nil"/>
              <w:bottom w:val="single" w:color="auto" w:sz="4" w:space="0"/>
              <w:right w:val="single" w:color="auto" w:sz="4" w:space="0"/>
            </w:tcBorders>
            <w:noWrap/>
            <w:vAlign w:val="center"/>
          </w:tcPr>
          <w:p>
            <w:pPr>
              <w:widowControl/>
              <w:rPr>
                <w:rFonts w:ascii="宋体" w:cs="宋体"/>
                <w:kern w:val="0"/>
                <w:sz w:val="22"/>
              </w:rPr>
            </w:pPr>
          </w:p>
        </w:tc>
        <w:tc>
          <w:tcPr>
            <w:tcW w:w="1423" w:type="dxa"/>
            <w:tcBorders>
              <w:top w:val="nil"/>
              <w:left w:val="nil"/>
              <w:bottom w:val="single" w:color="auto" w:sz="4" w:space="0"/>
              <w:right w:val="single" w:color="auto" w:sz="4" w:space="0"/>
            </w:tcBorders>
            <w:noWrap/>
            <w:vAlign w:val="bottom"/>
          </w:tcPr>
          <w:p>
            <w:pPr>
              <w:jc w:val="right"/>
              <w:rPr>
                <w:rFonts w:ascii="宋体" w:cs="宋体"/>
                <w:sz w:val="24"/>
              </w:rPr>
            </w:pPr>
          </w:p>
        </w:tc>
        <w:tc>
          <w:tcPr>
            <w:tcW w:w="1128"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1453"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r>
      <w:tr>
        <w:tblPrEx>
          <w:tblLayout w:type="fixed"/>
          <w:tblCellMar>
            <w:top w:w="0" w:type="dxa"/>
            <w:left w:w="108" w:type="dxa"/>
            <w:bottom w:w="0" w:type="dxa"/>
            <w:right w:w="108" w:type="dxa"/>
          </w:tblCellMar>
        </w:tblPrEx>
        <w:trPr>
          <w:trHeight w:val="454" w:hRule="atLeast"/>
          <w:jc w:val="center"/>
        </w:trPr>
        <w:tc>
          <w:tcPr>
            <w:tcW w:w="2490" w:type="dxa"/>
            <w:tcBorders>
              <w:top w:val="nil"/>
              <w:left w:val="single" w:color="auto" w:sz="4" w:space="0"/>
              <w:bottom w:val="single" w:color="auto" w:sz="4" w:space="0"/>
              <w:right w:val="single" w:color="auto" w:sz="4" w:space="0"/>
            </w:tcBorders>
            <w:noWrap/>
            <w:vAlign w:val="center"/>
          </w:tcPr>
          <w:p>
            <w:pPr>
              <w:rPr>
                <w:rFonts w:ascii="宋体" w:cs="宋体"/>
                <w:sz w:val="24"/>
              </w:rPr>
            </w:pPr>
          </w:p>
        </w:tc>
        <w:tc>
          <w:tcPr>
            <w:tcW w:w="1905"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992" w:type="dxa"/>
            <w:tcBorders>
              <w:top w:val="nil"/>
              <w:left w:val="nil"/>
              <w:bottom w:val="single" w:color="auto" w:sz="4" w:space="0"/>
              <w:right w:val="single" w:color="auto" w:sz="4" w:space="0"/>
            </w:tcBorders>
            <w:noWrap/>
            <w:vAlign w:val="center"/>
          </w:tcPr>
          <w:p>
            <w:pPr>
              <w:widowControl/>
              <w:rPr>
                <w:rFonts w:ascii="宋体" w:cs="宋体"/>
                <w:kern w:val="0"/>
                <w:sz w:val="22"/>
              </w:rPr>
            </w:pPr>
          </w:p>
        </w:tc>
        <w:tc>
          <w:tcPr>
            <w:tcW w:w="1423" w:type="dxa"/>
            <w:tcBorders>
              <w:top w:val="nil"/>
              <w:left w:val="nil"/>
              <w:bottom w:val="single" w:color="auto" w:sz="4" w:space="0"/>
              <w:right w:val="single" w:color="auto" w:sz="4" w:space="0"/>
            </w:tcBorders>
            <w:noWrap/>
            <w:vAlign w:val="bottom"/>
          </w:tcPr>
          <w:p>
            <w:pPr>
              <w:jc w:val="right"/>
              <w:rPr>
                <w:rFonts w:ascii="宋体" w:cs="宋体"/>
                <w:sz w:val="24"/>
              </w:rPr>
            </w:pPr>
          </w:p>
        </w:tc>
        <w:tc>
          <w:tcPr>
            <w:tcW w:w="1128"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1453"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r>
      <w:tr>
        <w:tblPrEx>
          <w:tblLayout w:type="fixed"/>
          <w:tblCellMar>
            <w:top w:w="0" w:type="dxa"/>
            <w:left w:w="108" w:type="dxa"/>
            <w:bottom w:w="0" w:type="dxa"/>
            <w:right w:w="108" w:type="dxa"/>
          </w:tblCellMar>
        </w:tblPrEx>
        <w:trPr>
          <w:trHeight w:val="454" w:hRule="atLeast"/>
          <w:jc w:val="center"/>
        </w:trPr>
        <w:tc>
          <w:tcPr>
            <w:tcW w:w="2490" w:type="dxa"/>
            <w:tcBorders>
              <w:top w:val="nil"/>
              <w:left w:val="single" w:color="auto" w:sz="4" w:space="0"/>
              <w:bottom w:val="single" w:color="auto" w:sz="4" w:space="0"/>
              <w:right w:val="single" w:color="auto" w:sz="4" w:space="0"/>
            </w:tcBorders>
            <w:noWrap/>
            <w:vAlign w:val="center"/>
          </w:tcPr>
          <w:p>
            <w:pPr>
              <w:rPr>
                <w:rFonts w:ascii="宋体" w:cs="宋体"/>
                <w:sz w:val="24"/>
              </w:rPr>
            </w:pPr>
          </w:p>
        </w:tc>
        <w:tc>
          <w:tcPr>
            <w:tcW w:w="1905"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992" w:type="dxa"/>
            <w:tcBorders>
              <w:top w:val="nil"/>
              <w:left w:val="nil"/>
              <w:bottom w:val="single" w:color="auto" w:sz="4" w:space="0"/>
              <w:right w:val="single" w:color="auto" w:sz="4" w:space="0"/>
            </w:tcBorders>
            <w:noWrap/>
            <w:vAlign w:val="center"/>
          </w:tcPr>
          <w:p>
            <w:pPr>
              <w:widowControl/>
              <w:rPr>
                <w:rFonts w:ascii="宋体" w:cs="宋体"/>
                <w:kern w:val="0"/>
                <w:sz w:val="22"/>
              </w:rPr>
            </w:pPr>
          </w:p>
        </w:tc>
        <w:tc>
          <w:tcPr>
            <w:tcW w:w="1423" w:type="dxa"/>
            <w:tcBorders>
              <w:top w:val="nil"/>
              <w:left w:val="nil"/>
              <w:bottom w:val="single" w:color="auto" w:sz="4" w:space="0"/>
              <w:right w:val="single" w:color="auto" w:sz="4" w:space="0"/>
            </w:tcBorders>
            <w:noWrap/>
            <w:vAlign w:val="bottom"/>
          </w:tcPr>
          <w:p>
            <w:pPr>
              <w:jc w:val="right"/>
              <w:rPr>
                <w:rFonts w:ascii="宋体" w:cs="宋体"/>
                <w:sz w:val="24"/>
              </w:rPr>
            </w:pPr>
          </w:p>
        </w:tc>
        <w:tc>
          <w:tcPr>
            <w:tcW w:w="1128"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1453"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r>
      <w:tr>
        <w:tblPrEx>
          <w:tblLayout w:type="fixed"/>
          <w:tblCellMar>
            <w:top w:w="0" w:type="dxa"/>
            <w:left w:w="108" w:type="dxa"/>
            <w:bottom w:w="0" w:type="dxa"/>
            <w:right w:w="108" w:type="dxa"/>
          </w:tblCellMar>
        </w:tblPrEx>
        <w:trPr>
          <w:trHeight w:val="454" w:hRule="atLeast"/>
          <w:jc w:val="center"/>
        </w:trPr>
        <w:tc>
          <w:tcPr>
            <w:tcW w:w="2490" w:type="dxa"/>
            <w:tcBorders>
              <w:top w:val="nil"/>
              <w:left w:val="single" w:color="auto" w:sz="4" w:space="0"/>
              <w:bottom w:val="single" w:color="auto" w:sz="4" w:space="0"/>
              <w:right w:val="single" w:color="auto" w:sz="4" w:space="0"/>
            </w:tcBorders>
            <w:noWrap/>
            <w:vAlign w:val="center"/>
          </w:tcPr>
          <w:p>
            <w:pPr>
              <w:rPr>
                <w:rFonts w:ascii="宋体" w:cs="宋体"/>
                <w:sz w:val="24"/>
              </w:rPr>
            </w:pPr>
          </w:p>
        </w:tc>
        <w:tc>
          <w:tcPr>
            <w:tcW w:w="1905"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992" w:type="dxa"/>
            <w:tcBorders>
              <w:top w:val="nil"/>
              <w:left w:val="nil"/>
              <w:bottom w:val="single" w:color="auto" w:sz="4" w:space="0"/>
              <w:right w:val="single" w:color="auto" w:sz="4" w:space="0"/>
            </w:tcBorders>
            <w:noWrap/>
            <w:vAlign w:val="center"/>
          </w:tcPr>
          <w:p>
            <w:pPr>
              <w:widowControl/>
              <w:rPr>
                <w:rFonts w:ascii="宋体" w:cs="宋体"/>
                <w:kern w:val="0"/>
                <w:sz w:val="22"/>
              </w:rPr>
            </w:pPr>
          </w:p>
        </w:tc>
        <w:tc>
          <w:tcPr>
            <w:tcW w:w="1423" w:type="dxa"/>
            <w:tcBorders>
              <w:top w:val="nil"/>
              <w:left w:val="nil"/>
              <w:bottom w:val="single" w:color="auto" w:sz="4" w:space="0"/>
              <w:right w:val="single" w:color="auto" w:sz="4" w:space="0"/>
            </w:tcBorders>
            <w:noWrap/>
            <w:vAlign w:val="bottom"/>
          </w:tcPr>
          <w:p>
            <w:pPr>
              <w:jc w:val="right"/>
              <w:rPr>
                <w:rFonts w:ascii="宋体" w:cs="宋体"/>
                <w:sz w:val="24"/>
              </w:rPr>
            </w:pPr>
          </w:p>
        </w:tc>
        <w:tc>
          <w:tcPr>
            <w:tcW w:w="1128"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1453"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r>
      <w:tr>
        <w:tblPrEx>
          <w:tblLayout w:type="fixed"/>
          <w:tblCellMar>
            <w:top w:w="0" w:type="dxa"/>
            <w:left w:w="108" w:type="dxa"/>
            <w:bottom w:w="0" w:type="dxa"/>
            <w:right w:w="108" w:type="dxa"/>
          </w:tblCellMar>
        </w:tblPrEx>
        <w:trPr>
          <w:trHeight w:val="454" w:hRule="atLeast"/>
          <w:jc w:val="center"/>
        </w:trPr>
        <w:tc>
          <w:tcPr>
            <w:tcW w:w="2490" w:type="dxa"/>
            <w:tcBorders>
              <w:top w:val="nil"/>
              <w:left w:val="single" w:color="auto" w:sz="4" w:space="0"/>
              <w:bottom w:val="single" w:color="auto" w:sz="4" w:space="0"/>
              <w:right w:val="single" w:color="auto" w:sz="4" w:space="0"/>
            </w:tcBorders>
            <w:noWrap/>
            <w:vAlign w:val="center"/>
          </w:tcPr>
          <w:p>
            <w:pPr>
              <w:rPr>
                <w:rFonts w:ascii="宋体" w:cs="宋体"/>
                <w:sz w:val="24"/>
              </w:rPr>
            </w:pPr>
          </w:p>
        </w:tc>
        <w:tc>
          <w:tcPr>
            <w:tcW w:w="1905"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992" w:type="dxa"/>
            <w:tcBorders>
              <w:top w:val="nil"/>
              <w:left w:val="nil"/>
              <w:bottom w:val="single" w:color="auto" w:sz="4" w:space="0"/>
              <w:right w:val="single" w:color="auto" w:sz="4" w:space="0"/>
            </w:tcBorders>
            <w:noWrap/>
            <w:vAlign w:val="center"/>
          </w:tcPr>
          <w:p>
            <w:pPr>
              <w:widowControl/>
              <w:rPr>
                <w:rFonts w:ascii="宋体" w:cs="宋体"/>
                <w:kern w:val="0"/>
                <w:sz w:val="22"/>
              </w:rPr>
            </w:pPr>
          </w:p>
        </w:tc>
        <w:tc>
          <w:tcPr>
            <w:tcW w:w="1423" w:type="dxa"/>
            <w:tcBorders>
              <w:top w:val="nil"/>
              <w:left w:val="nil"/>
              <w:bottom w:val="single" w:color="auto" w:sz="4" w:space="0"/>
              <w:right w:val="single" w:color="auto" w:sz="4" w:space="0"/>
            </w:tcBorders>
            <w:noWrap/>
            <w:vAlign w:val="bottom"/>
          </w:tcPr>
          <w:p>
            <w:pPr>
              <w:jc w:val="right"/>
              <w:rPr>
                <w:rFonts w:ascii="宋体" w:cs="宋体"/>
                <w:sz w:val="24"/>
              </w:rPr>
            </w:pPr>
          </w:p>
        </w:tc>
        <w:tc>
          <w:tcPr>
            <w:tcW w:w="1128"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1453"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r>
      <w:tr>
        <w:tblPrEx>
          <w:tblLayout w:type="fixed"/>
          <w:tblCellMar>
            <w:top w:w="0" w:type="dxa"/>
            <w:left w:w="108" w:type="dxa"/>
            <w:bottom w:w="0" w:type="dxa"/>
            <w:right w:w="108" w:type="dxa"/>
          </w:tblCellMar>
        </w:tblPrEx>
        <w:trPr>
          <w:trHeight w:val="454" w:hRule="atLeast"/>
          <w:jc w:val="center"/>
        </w:trPr>
        <w:tc>
          <w:tcPr>
            <w:tcW w:w="2490" w:type="dxa"/>
            <w:tcBorders>
              <w:top w:val="nil"/>
              <w:left w:val="single" w:color="auto" w:sz="4" w:space="0"/>
              <w:bottom w:val="single" w:color="auto" w:sz="4" w:space="0"/>
              <w:right w:val="single" w:color="auto" w:sz="4" w:space="0"/>
            </w:tcBorders>
            <w:noWrap/>
            <w:vAlign w:val="center"/>
          </w:tcPr>
          <w:p>
            <w:pPr>
              <w:rPr>
                <w:rFonts w:ascii="宋体" w:cs="宋体"/>
                <w:sz w:val="24"/>
              </w:rPr>
            </w:pPr>
          </w:p>
        </w:tc>
        <w:tc>
          <w:tcPr>
            <w:tcW w:w="1905"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992" w:type="dxa"/>
            <w:tcBorders>
              <w:top w:val="nil"/>
              <w:left w:val="nil"/>
              <w:bottom w:val="single" w:color="auto" w:sz="4" w:space="0"/>
              <w:right w:val="single" w:color="auto" w:sz="4" w:space="0"/>
            </w:tcBorders>
            <w:noWrap/>
            <w:vAlign w:val="center"/>
          </w:tcPr>
          <w:p>
            <w:pPr>
              <w:widowControl/>
              <w:rPr>
                <w:rFonts w:ascii="宋体" w:cs="宋体"/>
                <w:kern w:val="0"/>
                <w:sz w:val="22"/>
              </w:rPr>
            </w:pPr>
          </w:p>
        </w:tc>
        <w:tc>
          <w:tcPr>
            <w:tcW w:w="1423" w:type="dxa"/>
            <w:tcBorders>
              <w:top w:val="nil"/>
              <w:left w:val="nil"/>
              <w:bottom w:val="single" w:color="auto" w:sz="4" w:space="0"/>
              <w:right w:val="single" w:color="auto" w:sz="4" w:space="0"/>
            </w:tcBorders>
            <w:noWrap/>
            <w:vAlign w:val="bottom"/>
          </w:tcPr>
          <w:p>
            <w:pPr>
              <w:jc w:val="right"/>
              <w:rPr>
                <w:rFonts w:ascii="宋体" w:cs="宋体"/>
                <w:sz w:val="24"/>
              </w:rPr>
            </w:pPr>
          </w:p>
        </w:tc>
        <w:tc>
          <w:tcPr>
            <w:tcW w:w="1128"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1453"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r>
      <w:tr>
        <w:tblPrEx>
          <w:tblLayout w:type="fixed"/>
          <w:tblCellMar>
            <w:top w:w="0" w:type="dxa"/>
            <w:left w:w="108" w:type="dxa"/>
            <w:bottom w:w="0" w:type="dxa"/>
            <w:right w:w="108" w:type="dxa"/>
          </w:tblCellMar>
        </w:tblPrEx>
        <w:trPr>
          <w:trHeight w:val="454" w:hRule="atLeast"/>
          <w:jc w:val="center"/>
        </w:trPr>
        <w:tc>
          <w:tcPr>
            <w:tcW w:w="2490"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22"/>
              </w:rPr>
            </w:pPr>
          </w:p>
        </w:tc>
        <w:tc>
          <w:tcPr>
            <w:tcW w:w="1905"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992" w:type="dxa"/>
            <w:tcBorders>
              <w:top w:val="nil"/>
              <w:left w:val="nil"/>
              <w:bottom w:val="single" w:color="auto" w:sz="4" w:space="0"/>
              <w:right w:val="single" w:color="auto" w:sz="4" w:space="0"/>
            </w:tcBorders>
            <w:noWrap/>
            <w:vAlign w:val="center"/>
          </w:tcPr>
          <w:p>
            <w:pPr>
              <w:widowControl/>
              <w:rPr>
                <w:rFonts w:ascii="宋体" w:cs="宋体"/>
                <w:kern w:val="0"/>
                <w:sz w:val="22"/>
              </w:rPr>
            </w:pPr>
          </w:p>
        </w:tc>
        <w:tc>
          <w:tcPr>
            <w:tcW w:w="1423" w:type="dxa"/>
            <w:tcBorders>
              <w:top w:val="nil"/>
              <w:left w:val="nil"/>
              <w:bottom w:val="single" w:color="auto" w:sz="4" w:space="0"/>
              <w:right w:val="single" w:color="auto" w:sz="4" w:space="0"/>
            </w:tcBorders>
            <w:noWrap/>
            <w:vAlign w:val="center"/>
          </w:tcPr>
          <w:p>
            <w:pPr>
              <w:widowControl/>
              <w:jc w:val="right"/>
              <w:rPr>
                <w:rFonts w:ascii="宋体" w:cs="宋体"/>
                <w:kern w:val="0"/>
                <w:sz w:val="22"/>
              </w:rPr>
            </w:pPr>
          </w:p>
        </w:tc>
        <w:tc>
          <w:tcPr>
            <w:tcW w:w="1128"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c>
          <w:tcPr>
            <w:tcW w:w="1453"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p>
        </w:tc>
      </w:tr>
    </w:tbl>
    <w:p>
      <w:pPr>
        <w:spacing w:line="480" w:lineRule="auto"/>
        <w:jc w:val="left"/>
        <w:rPr>
          <w:sz w:val="28"/>
          <w:szCs w:val="28"/>
        </w:rPr>
        <w:sectPr>
          <w:pgSz w:w="11906" w:h="16838"/>
          <w:pgMar w:top="1091" w:right="1106" w:bottom="936" w:left="1418" w:header="851" w:footer="595" w:gutter="0"/>
          <w:cols w:space="720" w:num="1"/>
          <w:docGrid w:type="lines" w:linePitch="312" w:charSpace="0"/>
        </w:sectPr>
      </w:pPr>
    </w:p>
    <w:p>
      <w:pPr>
        <w:spacing w:beforeLines="25" w:line="300" w:lineRule="auto"/>
        <w:ind w:right="-107" w:rightChars="-51"/>
        <w:outlineLvl w:val="1"/>
        <w:rPr>
          <w:rFonts w:ascii="宋体"/>
          <w:sz w:val="28"/>
          <w:szCs w:val="28"/>
        </w:rPr>
      </w:pPr>
      <w:bookmarkStart w:id="15" w:name="_Toc235873678"/>
      <w:bookmarkStart w:id="16" w:name="_Toc231520668"/>
      <w:bookmarkStart w:id="17" w:name="_Toc231138899"/>
      <w:bookmarkStart w:id="18" w:name="_Toc231140165"/>
      <w:bookmarkStart w:id="19" w:name="_Toc231175098"/>
      <w:r>
        <w:rPr>
          <w:rFonts w:hint="eastAsia" w:ascii="宋体"/>
          <w:sz w:val="28"/>
          <w:szCs w:val="28"/>
        </w:rPr>
        <w:t>附表2</w:t>
      </w:r>
      <w:bookmarkEnd w:id="15"/>
      <w:bookmarkEnd w:id="16"/>
      <w:bookmarkEnd w:id="17"/>
      <w:bookmarkEnd w:id="18"/>
      <w:bookmarkEnd w:id="19"/>
    </w:p>
    <w:p>
      <w:pPr>
        <w:spacing w:beforeLines="25" w:line="300" w:lineRule="auto"/>
        <w:ind w:left="1260" w:leftChars="-29" w:right="-107" w:rightChars="-51" w:hanging="1321" w:hangingChars="299"/>
        <w:jc w:val="center"/>
        <w:outlineLvl w:val="1"/>
        <w:rPr>
          <w:rFonts w:ascii="宋体"/>
          <w:b/>
          <w:sz w:val="44"/>
          <w:szCs w:val="44"/>
        </w:rPr>
      </w:pPr>
      <w:bookmarkStart w:id="20" w:name="_Toc235873679"/>
      <w:bookmarkStart w:id="21" w:name="_Toc231140166"/>
      <w:bookmarkStart w:id="22" w:name="_Toc231175099"/>
      <w:bookmarkStart w:id="23" w:name="_Toc231520669"/>
      <w:r>
        <w:rPr>
          <w:rFonts w:hint="eastAsia" w:ascii="宋体"/>
          <w:b/>
          <w:sz w:val="44"/>
          <w:szCs w:val="44"/>
        </w:rPr>
        <w:t>法定代表人授权委托书</w:t>
      </w:r>
      <w:bookmarkEnd w:id="20"/>
      <w:bookmarkEnd w:id="21"/>
      <w:bookmarkEnd w:id="22"/>
      <w:bookmarkEnd w:id="23"/>
    </w:p>
    <w:p>
      <w:pPr>
        <w:ind w:firstLine="608"/>
        <w:jc w:val="center"/>
        <w:rPr>
          <w:rFonts w:ascii="楷体_GB2312" w:hAnsi="楷体_GB2312"/>
        </w:rPr>
      </w:pPr>
    </w:p>
    <w:p>
      <w:pPr>
        <w:spacing w:line="420" w:lineRule="auto"/>
        <w:ind w:firstLine="688"/>
        <w:rPr>
          <w:rFonts w:ascii="楷体_GB2312" w:hAnsi="楷体_GB2312"/>
          <w:sz w:val="32"/>
        </w:rPr>
      </w:pPr>
      <w:r>
        <w:rPr>
          <w:rFonts w:hint="eastAsia" w:ascii="楷体_GB2312" w:hAnsi="楷体_GB2312"/>
          <w:sz w:val="32"/>
        </w:rPr>
        <w:t>本授权委托书声明：我</w:t>
      </w:r>
      <w:r>
        <w:rPr>
          <w:rFonts w:hint="eastAsia" w:ascii="楷体_GB2312" w:hAnsi="楷体_GB2312"/>
          <w:sz w:val="32"/>
          <w:u w:val="single"/>
        </w:rPr>
        <w:t>（姓名）</w:t>
      </w:r>
      <w:r>
        <w:rPr>
          <w:rFonts w:hint="eastAsia" w:ascii="楷体_GB2312" w:hAnsi="楷体_GB2312"/>
          <w:sz w:val="32"/>
        </w:rPr>
        <w:t>系</w:t>
      </w:r>
      <w:r>
        <w:rPr>
          <w:rFonts w:hint="eastAsia" w:ascii="楷体_GB2312" w:hAnsi="楷体_GB2312"/>
          <w:sz w:val="32"/>
          <w:u w:val="single"/>
        </w:rPr>
        <w:t>（申请人全称）</w:t>
      </w:r>
      <w:r>
        <w:rPr>
          <w:rFonts w:hint="eastAsia" w:ascii="楷体_GB2312" w:hAnsi="楷体_GB2312"/>
          <w:sz w:val="32"/>
        </w:rPr>
        <w:t>的法定代表人，现授权委托</w:t>
      </w:r>
      <w:r>
        <w:rPr>
          <w:rFonts w:hint="eastAsia" w:ascii="楷体_GB2312" w:hAnsi="楷体_GB2312"/>
          <w:sz w:val="32"/>
          <w:u w:val="single"/>
        </w:rPr>
        <w:t>（单位全称）</w:t>
      </w:r>
      <w:r>
        <w:rPr>
          <w:rFonts w:hint="eastAsia" w:ascii="楷体_GB2312" w:hAnsi="楷体_GB2312"/>
          <w:sz w:val="32"/>
        </w:rPr>
        <w:t>的</w:t>
      </w:r>
      <w:r>
        <w:rPr>
          <w:rFonts w:hint="eastAsia" w:ascii="楷体_GB2312" w:hAnsi="楷体_GB2312"/>
          <w:sz w:val="32"/>
          <w:u w:val="single"/>
        </w:rPr>
        <w:t>（姓名）</w:t>
      </w:r>
      <w:r>
        <w:rPr>
          <w:rFonts w:hint="eastAsia" w:ascii="楷体_GB2312" w:hAnsi="楷体_GB2312"/>
          <w:sz w:val="32"/>
        </w:rPr>
        <w:t>为我公司代理人，以本公司的名义参加</w:t>
      </w:r>
      <w:r>
        <w:rPr>
          <w:rFonts w:hint="eastAsia" w:ascii="楷体_GB2312" w:hAnsi="楷体_GB2312"/>
          <w:sz w:val="32"/>
          <w:u w:val="single"/>
        </w:rPr>
        <w:t>(招标人全称)</w:t>
      </w:r>
      <w:r>
        <w:rPr>
          <w:rFonts w:hint="eastAsia" w:ascii="楷体_GB2312" w:hAnsi="楷体_GB2312"/>
          <w:sz w:val="32"/>
        </w:rPr>
        <w:t>的</w:t>
      </w:r>
      <w:r>
        <w:rPr>
          <w:rFonts w:hint="eastAsia" w:ascii="楷体_GB2312" w:hAnsi="楷体_GB2312"/>
          <w:sz w:val="32"/>
          <w:u w:val="single"/>
        </w:rPr>
        <w:t>(工程项目全称)</w:t>
      </w:r>
      <w:r>
        <w:rPr>
          <w:rFonts w:hint="eastAsia" w:ascii="楷体_GB2312" w:hAnsi="楷体_GB2312"/>
          <w:sz w:val="32"/>
        </w:rPr>
        <w:t>的投标活动。代理人在资格审查、投标、开标、评标、合同谈判、签署合同过程中所签署的一切文件和处理与之有关的一切事务，我均予以承认。</w:t>
      </w:r>
    </w:p>
    <w:p>
      <w:pPr>
        <w:spacing w:line="420" w:lineRule="auto"/>
        <w:ind w:firstLine="688"/>
        <w:rPr>
          <w:rFonts w:ascii="楷体_GB2312" w:hAnsi="楷体_GB2312"/>
          <w:sz w:val="32"/>
        </w:rPr>
      </w:pPr>
      <w:r>
        <w:rPr>
          <w:rFonts w:hint="eastAsia" w:ascii="楷体_GB2312" w:hAnsi="楷体_GB2312"/>
          <w:sz w:val="32"/>
        </w:rPr>
        <w:t>代理人无转让委托权，特此委托。</w:t>
      </w:r>
    </w:p>
    <w:p>
      <w:pPr>
        <w:spacing w:line="420" w:lineRule="auto"/>
        <w:ind w:firstLine="608"/>
        <w:rPr>
          <w:rFonts w:ascii="楷体_GB2312" w:hAnsi="楷体_GB2312"/>
        </w:rPr>
      </w:pPr>
    </w:p>
    <w:p>
      <w:pPr>
        <w:spacing w:line="600" w:lineRule="auto"/>
        <w:ind w:firstLine="185" w:firstLineChars="58"/>
        <w:rPr>
          <w:rFonts w:ascii="楷体_GB2312" w:hAnsi="楷体_GB2312"/>
          <w:sz w:val="32"/>
          <w:szCs w:val="32"/>
        </w:rPr>
      </w:pPr>
      <w:r>
        <w:rPr>
          <w:rFonts w:hint="eastAsia" w:ascii="楷体_GB2312" w:hAnsi="楷体_GB2312"/>
          <w:sz w:val="32"/>
          <w:szCs w:val="32"/>
        </w:rPr>
        <w:t>代理人：</w:t>
      </w:r>
      <w:r>
        <w:rPr>
          <w:rFonts w:hint="eastAsia" w:ascii="楷体_GB2312" w:hAnsi="楷体_GB2312"/>
          <w:sz w:val="32"/>
          <w:szCs w:val="32"/>
          <w:u w:val="single"/>
        </w:rPr>
        <w:t>(签名并盖章)</w:t>
      </w:r>
      <w:r>
        <w:rPr>
          <w:rFonts w:hint="eastAsia" w:ascii="楷体_GB2312" w:hAnsi="楷体_GB2312"/>
          <w:sz w:val="32"/>
          <w:szCs w:val="32"/>
          <w:u w:val="none"/>
          <w:lang w:val="en-US" w:eastAsia="zh-CN"/>
        </w:rPr>
        <w:t xml:space="preserve">         </w:t>
      </w:r>
      <w:r>
        <w:rPr>
          <w:rFonts w:hint="eastAsia" w:ascii="楷体_GB2312" w:hAnsi="楷体_GB2312"/>
          <w:sz w:val="32"/>
          <w:szCs w:val="32"/>
        </w:rPr>
        <w:t>职务：</w:t>
      </w:r>
    </w:p>
    <w:p>
      <w:pPr>
        <w:spacing w:line="600" w:lineRule="auto"/>
        <w:ind w:firstLine="185" w:firstLineChars="58"/>
        <w:rPr>
          <w:rFonts w:ascii="楷体_GB2312" w:hAnsi="楷体_GB2312"/>
          <w:sz w:val="32"/>
          <w:szCs w:val="32"/>
        </w:rPr>
      </w:pPr>
      <w:r>
        <w:rPr>
          <w:rFonts w:hint="eastAsia" w:ascii="楷体_GB2312" w:hAnsi="楷体_GB2312"/>
          <w:sz w:val="32"/>
          <w:szCs w:val="32"/>
        </w:rPr>
        <w:t>代理人身份证号码：</w:t>
      </w:r>
    </w:p>
    <w:p>
      <w:pPr>
        <w:spacing w:line="600" w:lineRule="auto"/>
        <w:ind w:firstLine="160" w:firstLineChars="50"/>
        <w:rPr>
          <w:rFonts w:ascii="楷体_GB2312" w:hAnsi="楷体_GB2312"/>
          <w:sz w:val="32"/>
          <w:szCs w:val="32"/>
        </w:rPr>
      </w:pPr>
      <w:r>
        <w:rPr>
          <w:rFonts w:hint="eastAsia" w:ascii="楷体_GB2312" w:hAnsi="楷体_GB2312"/>
          <w:sz w:val="32"/>
          <w:szCs w:val="32"/>
        </w:rPr>
        <w:t>法定代表人：（签名并盖章）</w:t>
      </w:r>
    </w:p>
    <w:p>
      <w:pPr>
        <w:spacing w:line="600" w:lineRule="auto"/>
        <w:ind w:firstLine="160" w:firstLineChars="50"/>
        <w:rPr>
          <w:rFonts w:ascii="楷体_GB2312" w:hAnsi="楷体_GB2312"/>
          <w:sz w:val="32"/>
          <w:szCs w:val="32"/>
        </w:rPr>
      </w:pPr>
      <w:r>
        <w:rPr>
          <w:rFonts w:hint="eastAsia" w:ascii="楷体_GB2312" w:hAnsi="楷体_GB2312"/>
          <w:sz w:val="32"/>
          <w:szCs w:val="32"/>
        </w:rPr>
        <w:t>授权委托日期：年</w:t>
      </w:r>
      <w:r>
        <w:rPr>
          <w:rFonts w:hint="eastAsia" w:ascii="楷体_GB2312" w:hAnsi="楷体_GB2312"/>
          <w:sz w:val="32"/>
          <w:szCs w:val="32"/>
          <w:lang w:val="en-US" w:eastAsia="zh-CN"/>
        </w:rPr>
        <w:t xml:space="preserve">   </w:t>
      </w:r>
      <w:r>
        <w:rPr>
          <w:rFonts w:hint="eastAsia" w:ascii="楷体_GB2312" w:hAnsi="楷体_GB2312"/>
          <w:sz w:val="32"/>
          <w:szCs w:val="32"/>
        </w:rPr>
        <w:t>月</w:t>
      </w:r>
      <w:r>
        <w:rPr>
          <w:rFonts w:hint="eastAsia" w:ascii="楷体_GB2312" w:hAnsi="楷体_GB2312"/>
          <w:sz w:val="32"/>
          <w:szCs w:val="32"/>
          <w:lang w:val="en-US" w:eastAsia="zh-CN"/>
        </w:rPr>
        <w:t xml:space="preserve">    </w:t>
      </w:r>
      <w:r>
        <w:rPr>
          <w:rFonts w:hint="eastAsia" w:ascii="楷体_GB2312" w:hAnsi="楷体_GB2312"/>
          <w:sz w:val="32"/>
          <w:szCs w:val="32"/>
        </w:rPr>
        <w:t>日</w:t>
      </w:r>
    </w:p>
    <w:p>
      <w:pPr>
        <w:ind w:firstLine="8960" w:firstLineChars="2800"/>
        <w:rPr>
          <w:rFonts w:ascii="楷体_GB2312" w:hAnsi="楷体_GB2312"/>
          <w:sz w:val="32"/>
          <w:szCs w:val="32"/>
        </w:rPr>
      </w:pPr>
    </w:p>
    <w:p>
      <w:pPr>
        <w:spacing w:line="360" w:lineRule="auto"/>
        <w:ind w:firstLine="640" w:firstLineChars="200"/>
        <w:rPr>
          <w:rFonts w:ascii="宋体" w:hAnsi="宋体"/>
          <w:sz w:val="24"/>
        </w:rPr>
      </w:pPr>
      <w:r>
        <w:rPr>
          <w:rFonts w:hint="eastAsia" w:ascii="楷体_GB2312" w:hAnsi="楷体_GB2312"/>
          <w:sz w:val="32"/>
          <w:szCs w:val="32"/>
        </w:rPr>
        <w:t>申请人：（公章）</w:t>
      </w:r>
    </w:p>
    <w:p/>
    <w:p/>
    <w:p/>
    <w:p/>
    <w:p/>
    <w:p/>
    <w:p/>
    <w:p>
      <w:pPr>
        <w:jc w:val="left"/>
        <w:outlineLvl w:val="1"/>
        <w:rPr>
          <w:rFonts w:hint="eastAsia" w:ascii="宋体"/>
          <w:sz w:val="28"/>
          <w:szCs w:val="28"/>
        </w:rPr>
      </w:pPr>
      <w:bookmarkStart w:id="24" w:name="_Toc235873685"/>
    </w:p>
    <w:p>
      <w:pPr>
        <w:jc w:val="left"/>
        <w:outlineLvl w:val="1"/>
        <w:rPr>
          <w:rFonts w:hint="eastAsia" w:ascii="宋体"/>
          <w:sz w:val="28"/>
          <w:szCs w:val="28"/>
        </w:rPr>
      </w:pPr>
    </w:p>
    <w:p>
      <w:pPr>
        <w:jc w:val="left"/>
        <w:outlineLvl w:val="1"/>
        <w:rPr>
          <w:rFonts w:ascii="宋体"/>
          <w:sz w:val="28"/>
          <w:szCs w:val="28"/>
        </w:rPr>
      </w:pPr>
      <w:r>
        <w:rPr>
          <w:rFonts w:hint="eastAsia" w:ascii="宋体"/>
          <w:sz w:val="28"/>
          <w:szCs w:val="28"/>
        </w:rPr>
        <w:t>附表3</w:t>
      </w:r>
      <w:bookmarkEnd w:id="24"/>
    </w:p>
    <w:p>
      <w:pPr>
        <w:jc w:val="center"/>
        <w:outlineLvl w:val="1"/>
        <w:rPr>
          <w:rFonts w:ascii="宋体"/>
          <w:sz w:val="28"/>
          <w:szCs w:val="28"/>
        </w:rPr>
      </w:pPr>
      <w:r>
        <w:rPr>
          <w:rFonts w:hint="eastAsia" w:ascii="宋体"/>
          <w:b/>
          <w:sz w:val="32"/>
          <w:szCs w:val="32"/>
        </w:rPr>
        <w:t>拟投入本合同工程的主要施工机械设备最低要求表</w:t>
      </w:r>
    </w:p>
    <w:tbl>
      <w:tblPr>
        <w:tblStyle w:val="9"/>
        <w:tblW w:w="882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04"/>
        <w:gridCol w:w="1440"/>
        <w:gridCol w:w="54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5" w:hRule="atLeast"/>
          <w:jc w:val="center"/>
        </w:trPr>
        <w:tc>
          <w:tcPr>
            <w:tcW w:w="1904" w:type="dxa"/>
            <w:vAlign w:val="center"/>
          </w:tcPr>
          <w:p>
            <w:pPr>
              <w:widowControl/>
              <w:jc w:val="center"/>
              <w:rPr>
                <w:rFonts w:ascii="宋体" w:cs="宋体"/>
                <w:kern w:val="0"/>
                <w:sz w:val="24"/>
              </w:rPr>
            </w:pPr>
            <w:r>
              <w:rPr>
                <w:rFonts w:hint="eastAsia" w:ascii="宋体" w:cs="宋体"/>
                <w:kern w:val="0"/>
                <w:sz w:val="24"/>
              </w:rPr>
              <w:t>机械设备名称</w:t>
            </w:r>
          </w:p>
        </w:tc>
        <w:tc>
          <w:tcPr>
            <w:tcW w:w="1440" w:type="dxa"/>
            <w:vAlign w:val="center"/>
          </w:tcPr>
          <w:p>
            <w:pPr>
              <w:widowControl/>
              <w:jc w:val="center"/>
              <w:rPr>
                <w:rFonts w:ascii="宋体" w:cs="宋体"/>
                <w:kern w:val="0"/>
                <w:sz w:val="24"/>
              </w:rPr>
            </w:pPr>
            <w:r>
              <w:rPr>
                <w:rFonts w:hint="eastAsia" w:ascii="宋体" w:cs="宋体"/>
                <w:kern w:val="0"/>
                <w:sz w:val="24"/>
              </w:rPr>
              <w:t>额定功率(KW)</w:t>
            </w:r>
            <w:r>
              <w:rPr>
                <w:rFonts w:hint="eastAsia" w:ascii="宋体" w:cs="宋体"/>
                <w:kern w:val="0"/>
                <w:sz w:val="24"/>
              </w:rPr>
              <w:br w:type="textWrapping"/>
            </w:r>
            <w:r>
              <w:rPr>
                <w:rFonts w:hint="eastAsia" w:ascii="宋体" w:cs="宋体"/>
                <w:kern w:val="0"/>
                <w:sz w:val="24"/>
              </w:rPr>
              <w:t>或容量(M</w:t>
            </w:r>
            <w:r>
              <w:rPr>
                <w:rFonts w:hint="eastAsia" w:ascii="宋体" w:cs="宋体"/>
                <w:kern w:val="0"/>
                <w:sz w:val="24"/>
                <w:vertAlign w:val="superscript"/>
              </w:rPr>
              <w:t>3</w:t>
            </w:r>
            <w:r>
              <w:rPr>
                <w:rFonts w:hint="eastAsia" w:ascii="宋体" w:cs="宋体"/>
                <w:kern w:val="0"/>
                <w:sz w:val="24"/>
              </w:rPr>
              <w:t>)</w:t>
            </w:r>
            <w:r>
              <w:rPr>
                <w:rFonts w:hint="eastAsia" w:ascii="宋体" w:cs="宋体"/>
                <w:kern w:val="0"/>
                <w:sz w:val="24"/>
              </w:rPr>
              <w:br w:type="textWrapping"/>
            </w:r>
            <w:r>
              <w:rPr>
                <w:rFonts w:hint="eastAsia" w:ascii="宋体" w:cs="宋体"/>
                <w:kern w:val="0"/>
                <w:sz w:val="24"/>
              </w:rPr>
              <w:t>或吨位(t)等</w:t>
            </w:r>
          </w:p>
        </w:tc>
        <w:tc>
          <w:tcPr>
            <w:tcW w:w="5481" w:type="dxa"/>
            <w:noWrap/>
            <w:vAlign w:val="center"/>
          </w:tcPr>
          <w:p>
            <w:pPr>
              <w:widowControl/>
              <w:jc w:val="center"/>
              <w:rPr>
                <w:rFonts w:ascii="宋体" w:cs="宋体"/>
                <w:kern w:val="0"/>
                <w:sz w:val="24"/>
              </w:rPr>
            </w:pPr>
            <w:r>
              <w:rPr>
                <w:rFonts w:hint="eastAsia" w:ascii="宋体" w:cs="宋体"/>
                <w:kern w:val="0"/>
                <w:sz w:val="24"/>
              </w:rPr>
              <w:t>最低要求的数量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9" w:hRule="atLeast"/>
          <w:jc w:val="center"/>
        </w:trPr>
        <w:tc>
          <w:tcPr>
            <w:tcW w:w="1904" w:type="dxa"/>
            <w:vAlign w:val="center"/>
          </w:tcPr>
          <w:p>
            <w:pPr>
              <w:widowControl/>
              <w:jc w:val="center"/>
              <w:rPr>
                <w:rFonts w:ascii="宋体"/>
                <w:kern w:val="0"/>
                <w:sz w:val="24"/>
              </w:rPr>
            </w:pPr>
          </w:p>
        </w:tc>
        <w:tc>
          <w:tcPr>
            <w:tcW w:w="1440" w:type="dxa"/>
            <w:vAlign w:val="center"/>
          </w:tcPr>
          <w:p>
            <w:pPr>
              <w:widowControl/>
              <w:jc w:val="center"/>
              <w:rPr>
                <w:rFonts w:ascii="宋体" w:cs="宋体"/>
                <w:kern w:val="0"/>
                <w:sz w:val="24"/>
              </w:rPr>
            </w:pPr>
          </w:p>
        </w:tc>
        <w:tc>
          <w:tcPr>
            <w:tcW w:w="5481" w:type="dxa"/>
            <w:vAlign w:val="center"/>
          </w:tcPr>
          <w:p>
            <w:pPr>
              <w:rPr>
                <w:rFonts w:ascii="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9" w:hRule="atLeast"/>
          <w:jc w:val="center"/>
        </w:trPr>
        <w:tc>
          <w:tcPr>
            <w:tcW w:w="1904" w:type="dxa"/>
            <w:vAlign w:val="center"/>
          </w:tcPr>
          <w:p>
            <w:pPr>
              <w:widowControl/>
              <w:jc w:val="center"/>
              <w:rPr>
                <w:sz w:val="24"/>
              </w:rPr>
            </w:pPr>
          </w:p>
        </w:tc>
        <w:tc>
          <w:tcPr>
            <w:tcW w:w="1440" w:type="dxa"/>
            <w:vAlign w:val="center"/>
          </w:tcPr>
          <w:p>
            <w:pPr>
              <w:widowControl/>
              <w:jc w:val="center"/>
              <w:rPr>
                <w:rFonts w:ascii="宋体" w:cs="宋体"/>
                <w:kern w:val="0"/>
                <w:sz w:val="24"/>
              </w:rPr>
            </w:pPr>
          </w:p>
        </w:tc>
        <w:tc>
          <w:tcPr>
            <w:tcW w:w="5481" w:type="dxa"/>
            <w:vAlign w:val="center"/>
          </w:tcPr>
          <w:p>
            <w:pPr>
              <w:rPr>
                <w:rFonts w:ascii="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9" w:hRule="atLeast"/>
          <w:jc w:val="center"/>
        </w:trPr>
        <w:tc>
          <w:tcPr>
            <w:tcW w:w="1904" w:type="dxa"/>
            <w:vAlign w:val="center"/>
          </w:tcPr>
          <w:p>
            <w:pPr>
              <w:widowControl/>
              <w:jc w:val="center"/>
              <w:rPr>
                <w:sz w:val="24"/>
              </w:rPr>
            </w:pPr>
          </w:p>
        </w:tc>
        <w:tc>
          <w:tcPr>
            <w:tcW w:w="1440" w:type="dxa"/>
            <w:vAlign w:val="center"/>
          </w:tcPr>
          <w:p>
            <w:pPr>
              <w:widowControl/>
              <w:jc w:val="center"/>
              <w:rPr>
                <w:rFonts w:ascii="宋体" w:cs="宋体"/>
                <w:kern w:val="0"/>
                <w:sz w:val="24"/>
              </w:rPr>
            </w:pPr>
          </w:p>
        </w:tc>
        <w:tc>
          <w:tcPr>
            <w:tcW w:w="5481" w:type="dxa"/>
            <w:vAlign w:val="center"/>
          </w:tcPr>
          <w:p>
            <w:pPr>
              <w:widowControl/>
              <w:rPr>
                <w:rFonts w:ascii="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9" w:hRule="atLeast"/>
          <w:jc w:val="center"/>
        </w:trPr>
        <w:tc>
          <w:tcPr>
            <w:tcW w:w="1904" w:type="dxa"/>
            <w:vAlign w:val="center"/>
          </w:tcPr>
          <w:p>
            <w:pPr>
              <w:widowControl/>
              <w:rPr>
                <w:sz w:val="24"/>
              </w:rPr>
            </w:pPr>
          </w:p>
        </w:tc>
        <w:tc>
          <w:tcPr>
            <w:tcW w:w="1440" w:type="dxa"/>
            <w:vAlign w:val="center"/>
          </w:tcPr>
          <w:p>
            <w:pPr>
              <w:widowControl/>
              <w:jc w:val="center"/>
              <w:rPr>
                <w:rFonts w:ascii="宋体"/>
                <w:kern w:val="0"/>
                <w:sz w:val="24"/>
              </w:rPr>
            </w:pPr>
          </w:p>
        </w:tc>
        <w:tc>
          <w:tcPr>
            <w:tcW w:w="5481" w:type="dxa"/>
            <w:vAlign w:val="center"/>
          </w:tcPr>
          <w:p>
            <w:pPr>
              <w:widowControl/>
              <w:rPr>
                <w:rFonts w:ascii="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9" w:hRule="atLeast"/>
          <w:jc w:val="center"/>
        </w:trPr>
        <w:tc>
          <w:tcPr>
            <w:tcW w:w="1904" w:type="dxa"/>
            <w:vAlign w:val="center"/>
          </w:tcPr>
          <w:p>
            <w:pPr>
              <w:widowControl/>
              <w:rPr>
                <w:sz w:val="24"/>
              </w:rPr>
            </w:pPr>
          </w:p>
        </w:tc>
        <w:tc>
          <w:tcPr>
            <w:tcW w:w="1440" w:type="dxa"/>
            <w:vAlign w:val="center"/>
          </w:tcPr>
          <w:p>
            <w:pPr>
              <w:widowControl/>
              <w:rPr>
                <w:rFonts w:ascii="宋体" w:cs="宋体"/>
                <w:kern w:val="0"/>
                <w:sz w:val="24"/>
              </w:rPr>
            </w:pPr>
          </w:p>
        </w:tc>
        <w:tc>
          <w:tcPr>
            <w:tcW w:w="5481" w:type="dxa"/>
            <w:vAlign w:val="center"/>
          </w:tcPr>
          <w:p>
            <w:pPr>
              <w:widowControl/>
              <w:rPr>
                <w:rFonts w:ascii="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9" w:hRule="atLeast"/>
          <w:jc w:val="center"/>
        </w:trPr>
        <w:tc>
          <w:tcPr>
            <w:tcW w:w="1904" w:type="dxa"/>
            <w:vAlign w:val="center"/>
          </w:tcPr>
          <w:p>
            <w:pPr>
              <w:widowControl/>
              <w:rPr>
                <w:sz w:val="24"/>
              </w:rPr>
            </w:pPr>
          </w:p>
        </w:tc>
        <w:tc>
          <w:tcPr>
            <w:tcW w:w="1440" w:type="dxa"/>
            <w:vAlign w:val="center"/>
          </w:tcPr>
          <w:p>
            <w:pPr>
              <w:widowControl/>
              <w:rPr>
                <w:rFonts w:ascii="宋体" w:cs="宋体"/>
                <w:kern w:val="0"/>
                <w:sz w:val="24"/>
              </w:rPr>
            </w:pPr>
          </w:p>
        </w:tc>
        <w:tc>
          <w:tcPr>
            <w:tcW w:w="5481" w:type="dxa"/>
            <w:vAlign w:val="center"/>
          </w:tcPr>
          <w:p>
            <w:pPr>
              <w:widowControl/>
              <w:rPr>
                <w:rFonts w:ascii="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10" w:hRule="atLeast"/>
          <w:jc w:val="center"/>
        </w:trPr>
        <w:tc>
          <w:tcPr>
            <w:tcW w:w="1904" w:type="dxa"/>
            <w:vAlign w:val="center"/>
          </w:tcPr>
          <w:p>
            <w:pPr>
              <w:widowControl/>
              <w:rPr>
                <w:rFonts w:ascii="宋体"/>
                <w:kern w:val="0"/>
                <w:sz w:val="24"/>
              </w:rPr>
            </w:pPr>
          </w:p>
        </w:tc>
        <w:tc>
          <w:tcPr>
            <w:tcW w:w="1440" w:type="dxa"/>
            <w:vAlign w:val="center"/>
          </w:tcPr>
          <w:p>
            <w:pPr>
              <w:widowControl/>
              <w:rPr>
                <w:rFonts w:ascii="宋体" w:cs="宋体"/>
                <w:kern w:val="0"/>
                <w:sz w:val="24"/>
              </w:rPr>
            </w:pPr>
          </w:p>
        </w:tc>
        <w:tc>
          <w:tcPr>
            <w:tcW w:w="5481" w:type="dxa"/>
            <w:vAlign w:val="center"/>
          </w:tcPr>
          <w:p>
            <w:pPr>
              <w:widowControl/>
              <w:rPr>
                <w:rFonts w:ascii="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9" w:hRule="atLeast"/>
          <w:jc w:val="center"/>
        </w:trPr>
        <w:tc>
          <w:tcPr>
            <w:tcW w:w="1904" w:type="dxa"/>
            <w:vAlign w:val="center"/>
          </w:tcPr>
          <w:p>
            <w:pPr>
              <w:widowControl/>
              <w:rPr>
                <w:rFonts w:ascii="宋体"/>
                <w:kern w:val="0"/>
                <w:sz w:val="24"/>
              </w:rPr>
            </w:pPr>
          </w:p>
        </w:tc>
        <w:tc>
          <w:tcPr>
            <w:tcW w:w="1440" w:type="dxa"/>
            <w:vAlign w:val="center"/>
          </w:tcPr>
          <w:p>
            <w:pPr>
              <w:widowControl/>
              <w:rPr>
                <w:rFonts w:ascii="宋体" w:cs="宋体"/>
                <w:kern w:val="0"/>
                <w:sz w:val="24"/>
              </w:rPr>
            </w:pPr>
          </w:p>
        </w:tc>
        <w:tc>
          <w:tcPr>
            <w:tcW w:w="5481" w:type="dxa"/>
            <w:vAlign w:val="center"/>
          </w:tcPr>
          <w:p>
            <w:pPr>
              <w:widowControl/>
              <w:rPr>
                <w:rFonts w:ascii="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9" w:hRule="atLeast"/>
          <w:jc w:val="center"/>
        </w:trPr>
        <w:tc>
          <w:tcPr>
            <w:tcW w:w="1904" w:type="dxa"/>
            <w:vAlign w:val="center"/>
          </w:tcPr>
          <w:p>
            <w:pPr>
              <w:widowControl/>
              <w:rPr>
                <w:rFonts w:ascii="宋体"/>
                <w:kern w:val="0"/>
                <w:sz w:val="24"/>
              </w:rPr>
            </w:pPr>
          </w:p>
        </w:tc>
        <w:tc>
          <w:tcPr>
            <w:tcW w:w="1440" w:type="dxa"/>
            <w:vAlign w:val="center"/>
          </w:tcPr>
          <w:p>
            <w:pPr>
              <w:widowControl/>
              <w:rPr>
                <w:rFonts w:ascii="宋体" w:cs="宋体"/>
                <w:kern w:val="0"/>
                <w:sz w:val="24"/>
              </w:rPr>
            </w:pPr>
          </w:p>
        </w:tc>
        <w:tc>
          <w:tcPr>
            <w:tcW w:w="5481" w:type="dxa"/>
            <w:vAlign w:val="center"/>
          </w:tcPr>
          <w:p>
            <w:pPr>
              <w:rPr>
                <w:rFonts w:ascii="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9" w:hRule="atLeast"/>
          <w:jc w:val="center"/>
        </w:trPr>
        <w:tc>
          <w:tcPr>
            <w:tcW w:w="1904" w:type="dxa"/>
            <w:vAlign w:val="center"/>
          </w:tcPr>
          <w:p>
            <w:pPr>
              <w:widowControl/>
              <w:rPr>
                <w:rFonts w:ascii="宋体"/>
                <w:kern w:val="0"/>
                <w:sz w:val="24"/>
              </w:rPr>
            </w:pPr>
          </w:p>
        </w:tc>
        <w:tc>
          <w:tcPr>
            <w:tcW w:w="1440" w:type="dxa"/>
            <w:vAlign w:val="center"/>
          </w:tcPr>
          <w:p>
            <w:pPr>
              <w:widowControl/>
              <w:rPr>
                <w:rFonts w:ascii="宋体" w:cs="宋体"/>
                <w:kern w:val="0"/>
                <w:sz w:val="24"/>
              </w:rPr>
            </w:pPr>
          </w:p>
        </w:tc>
        <w:tc>
          <w:tcPr>
            <w:tcW w:w="5481" w:type="dxa"/>
            <w:vAlign w:val="center"/>
          </w:tcPr>
          <w:p>
            <w:pPr>
              <w:rPr>
                <w:rFonts w:ascii="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9" w:hRule="atLeast"/>
          <w:jc w:val="center"/>
        </w:trPr>
        <w:tc>
          <w:tcPr>
            <w:tcW w:w="1904" w:type="dxa"/>
            <w:vAlign w:val="center"/>
          </w:tcPr>
          <w:p>
            <w:pPr>
              <w:widowControl/>
              <w:rPr>
                <w:rFonts w:ascii="宋体"/>
                <w:kern w:val="0"/>
                <w:sz w:val="24"/>
              </w:rPr>
            </w:pPr>
          </w:p>
        </w:tc>
        <w:tc>
          <w:tcPr>
            <w:tcW w:w="1440" w:type="dxa"/>
            <w:vAlign w:val="center"/>
          </w:tcPr>
          <w:p>
            <w:pPr>
              <w:widowControl/>
              <w:rPr>
                <w:rFonts w:ascii="宋体" w:cs="宋体"/>
                <w:kern w:val="0"/>
                <w:sz w:val="24"/>
              </w:rPr>
            </w:pPr>
          </w:p>
        </w:tc>
        <w:tc>
          <w:tcPr>
            <w:tcW w:w="5481" w:type="dxa"/>
            <w:vAlign w:val="center"/>
          </w:tcPr>
          <w:p>
            <w:pPr>
              <w:rPr>
                <w:rFonts w:ascii="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7" w:hRule="atLeast"/>
          <w:jc w:val="center"/>
        </w:trPr>
        <w:tc>
          <w:tcPr>
            <w:tcW w:w="1904" w:type="dxa"/>
            <w:vAlign w:val="center"/>
          </w:tcPr>
          <w:p>
            <w:pPr>
              <w:widowControl/>
              <w:jc w:val="center"/>
              <w:rPr>
                <w:rFonts w:ascii="宋体"/>
                <w:kern w:val="0"/>
                <w:sz w:val="24"/>
              </w:rPr>
            </w:pPr>
          </w:p>
        </w:tc>
        <w:tc>
          <w:tcPr>
            <w:tcW w:w="1440" w:type="dxa"/>
            <w:vAlign w:val="center"/>
          </w:tcPr>
          <w:p>
            <w:pPr>
              <w:widowControl/>
              <w:jc w:val="center"/>
              <w:rPr>
                <w:rFonts w:ascii="宋体" w:cs="宋体"/>
                <w:kern w:val="0"/>
                <w:sz w:val="24"/>
              </w:rPr>
            </w:pPr>
          </w:p>
        </w:tc>
        <w:tc>
          <w:tcPr>
            <w:tcW w:w="5481" w:type="dxa"/>
            <w:vAlign w:val="center"/>
          </w:tcPr>
          <w:p>
            <w:pPr>
              <w:jc w:val="center"/>
              <w:rPr>
                <w:rFonts w:ascii="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9" w:hRule="atLeast"/>
          <w:jc w:val="center"/>
        </w:trPr>
        <w:tc>
          <w:tcPr>
            <w:tcW w:w="1904" w:type="dxa"/>
            <w:vAlign w:val="center"/>
          </w:tcPr>
          <w:p>
            <w:pPr>
              <w:widowControl/>
              <w:rPr>
                <w:rFonts w:ascii="宋体"/>
                <w:kern w:val="0"/>
                <w:sz w:val="24"/>
              </w:rPr>
            </w:pPr>
          </w:p>
        </w:tc>
        <w:tc>
          <w:tcPr>
            <w:tcW w:w="1440" w:type="dxa"/>
            <w:vAlign w:val="center"/>
          </w:tcPr>
          <w:p>
            <w:pPr>
              <w:widowControl/>
              <w:jc w:val="center"/>
              <w:rPr>
                <w:rFonts w:ascii="宋体" w:cs="宋体"/>
                <w:kern w:val="0"/>
                <w:sz w:val="24"/>
              </w:rPr>
            </w:pPr>
          </w:p>
        </w:tc>
        <w:tc>
          <w:tcPr>
            <w:tcW w:w="5481" w:type="dxa"/>
            <w:vAlign w:val="center"/>
          </w:tcPr>
          <w:p>
            <w:pPr>
              <w:widowControl/>
              <w:jc w:val="center"/>
              <w:rPr>
                <w:rFonts w:ascii="宋体"/>
                <w:kern w:val="0"/>
                <w:sz w:val="24"/>
              </w:rPr>
            </w:pPr>
          </w:p>
        </w:tc>
      </w:tr>
    </w:tbl>
    <w:p/>
    <w:p>
      <w:pPr>
        <w:jc w:val="left"/>
        <w:outlineLvl w:val="1"/>
        <w:rPr>
          <w:rFonts w:hint="eastAsia" w:ascii="宋体"/>
          <w:sz w:val="28"/>
          <w:szCs w:val="28"/>
        </w:rPr>
      </w:pPr>
      <w:bookmarkStart w:id="25" w:name="_Toc235873689"/>
      <w:bookmarkStart w:id="26" w:name="_Toc231140180"/>
      <w:bookmarkStart w:id="27" w:name="_Toc231520683"/>
      <w:bookmarkStart w:id="28" w:name="_Toc231175113"/>
    </w:p>
    <w:p>
      <w:pPr>
        <w:jc w:val="left"/>
        <w:outlineLvl w:val="1"/>
        <w:rPr>
          <w:rFonts w:hint="eastAsia" w:ascii="宋体"/>
          <w:sz w:val="28"/>
          <w:szCs w:val="28"/>
        </w:rPr>
      </w:pPr>
    </w:p>
    <w:p>
      <w:pPr>
        <w:jc w:val="left"/>
        <w:outlineLvl w:val="1"/>
        <w:rPr>
          <w:rFonts w:hint="eastAsia" w:ascii="宋体"/>
          <w:sz w:val="28"/>
          <w:szCs w:val="28"/>
        </w:rPr>
      </w:pPr>
    </w:p>
    <w:p>
      <w:pPr>
        <w:jc w:val="left"/>
        <w:outlineLvl w:val="1"/>
        <w:rPr>
          <w:rFonts w:hint="eastAsia" w:ascii="宋体"/>
          <w:sz w:val="28"/>
          <w:szCs w:val="28"/>
        </w:rPr>
      </w:pPr>
    </w:p>
    <w:p>
      <w:pPr>
        <w:jc w:val="left"/>
        <w:outlineLvl w:val="1"/>
        <w:rPr>
          <w:rFonts w:hint="eastAsia" w:ascii="宋体"/>
          <w:sz w:val="28"/>
          <w:szCs w:val="28"/>
        </w:rPr>
      </w:pPr>
    </w:p>
    <w:p>
      <w:pPr>
        <w:jc w:val="left"/>
        <w:outlineLvl w:val="1"/>
        <w:rPr>
          <w:rFonts w:hint="eastAsia" w:ascii="宋体"/>
          <w:sz w:val="28"/>
          <w:szCs w:val="28"/>
        </w:rPr>
      </w:pPr>
    </w:p>
    <w:p>
      <w:pPr>
        <w:jc w:val="left"/>
        <w:outlineLvl w:val="1"/>
        <w:rPr>
          <w:rFonts w:ascii="宋体"/>
          <w:sz w:val="28"/>
          <w:szCs w:val="28"/>
        </w:rPr>
      </w:pPr>
      <w:r>
        <w:rPr>
          <w:rFonts w:hint="eastAsia" w:ascii="宋体"/>
          <w:sz w:val="28"/>
          <w:szCs w:val="28"/>
        </w:rPr>
        <w:t>附表</w:t>
      </w:r>
      <w:bookmarkEnd w:id="25"/>
      <w:bookmarkEnd w:id="26"/>
      <w:bookmarkEnd w:id="27"/>
      <w:bookmarkEnd w:id="28"/>
      <w:r>
        <w:rPr>
          <w:rFonts w:hint="eastAsia" w:ascii="宋体"/>
          <w:sz w:val="28"/>
          <w:szCs w:val="28"/>
        </w:rPr>
        <w:t>4</w:t>
      </w:r>
    </w:p>
    <w:p>
      <w:pPr>
        <w:pStyle w:val="8"/>
        <w:shd w:val="clear" w:color="auto" w:fill="FFFFFF"/>
        <w:spacing w:before="0" w:after="0" w:afterAutospacing="0"/>
        <w:jc w:val="center"/>
        <w:rPr>
          <w:b/>
          <w:color w:val="333333"/>
        </w:rPr>
      </w:pPr>
      <w:r>
        <w:rPr>
          <w:rFonts w:hint="eastAsia"/>
          <w:b/>
          <w:color w:val="333333"/>
        </w:rPr>
        <w:t>福建省工程建设领域农民工工资委托支付协议</w:t>
      </w:r>
    </w:p>
    <w:p>
      <w:pPr>
        <w:pStyle w:val="8"/>
        <w:shd w:val="clear" w:color="auto" w:fill="FFFFFF"/>
        <w:spacing w:after="0" w:afterAutospacing="0" w:line="360" w:lineRule="exact"/>
        <w:rPr>
          <w:color w:val="333333"/>
        </w:rPr>
      </w:pPr>
      <w:r>
        <w:rPr>
          <w:rFonts w:hint="eastAsia"/>
          <w:color w:val="333333"/>
        </w:rPr>
        <w:t>甲方：</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textAlignment w:val="auto"/>
        <w:rPr>
          <w:color w:val="333333"/>
        </w:rPr>
      </w:pPr>
      <w:r>
        <w:rPr>
          <w:rFonts w:hint="eastAsia"/>
          <w:color w:val="333333"/>
        </w:rPr>
        <w:t>乙方：福建路港（集团）有限公司</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color w:val="333333"/>
        </w:rPr>
      </w:pPr>
      <w:r>
        <w:rPr>
          <w:rFonts w:hint="eastAsia"/>
          <w:color w:val="333333"/>
        </w:rPr>
        <w:t>根据《福建省工程建设领域农民工工资专用账户管理暂行办法》相关要求，经双方友好协商，现就项目农民工工资委托支付事宜协议如下：</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color w:val="333333"/>
        </w:rPr>
      </w:pPr>
      <w:r>
        <w:rPr>
          <w:rFonts w:hint="eastAsia"/>
          <w:color w:val="333333"/>
        </w:rPr>
        <w:t>一、甲方委托乙方代发农民工工资，承诺每月按时将经农民工本人签字确认的工资表上报乙方，由乙方委托银行从农民工工资专用账户发放，农民工实名登记、工资金额、农民工个人银行卡等信息真实性由甲方负责。</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color w:val="333333"/>
        </w:rPr>
      </w:pPr>
      <w:r>
        <w:rPr>
          <w:rFonts w:hint="eastAsia"/>
          <w:color w:val="333333"/>
        </w:rPr>
        <w:t>二、乙方承诺按分包合同约定按时足额支付农民工工资，不得以工程款被拖欠为由拒付农民工工资。</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color w:val="333333"/>
        </w:rPr>
      </w:pPr>
      <w:r>
        <w:rPr>
          <w:rFonts w:hint="eastAsia"/>
          <w:color w:val="333333"/>
        </w:rPr>
        <w:t>三、农民工工资应按月支付，委托银行直接支付的农民工工资计入分包工程进度款予以扣除。</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color w:val="333333"/>
        </w:rPr>
      </w:pPr>
      <w:r>
        <w:rPr>
          <w:rFonts w:hint="eastAsia"/>
          <w:color w:val="333333"/>
        </w:rPr>
        <w:t>四、违约责任</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color w:val="333333"/>
        </w:rPr>
      </w:pPr>
      <w:r>
        <w:rPr>
          <w:rFonts w:hint="eastAsia"/>
          <w:color w:val="333333"/>
        </w:rPr>
        <w:t>施工期间，如发生农民工工资拖欠，按下列方式处理：</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color w:val="333333"/>
        </w:rPr>
      </w:pPr>
      <w:r>
        <w:rPr>
          <w:rFonts w:hint="eastAsia"/>
          <w:color w:val="333333"/>
        </w:rPr>
        <w:t>1.乙方未按月足额拨付人工费（工资款）的，由其无条件进行拨付，并承担相应的违约责任。</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color w:val="333333"/>
        </w:rPr>
      </w:pPr>
      <w:r>
        <w:rPr>
          <w:rFonts w:hint="eastAsia"/>
          <w:color w:val="333333"/>
        </w:rPr>
        <w:t>2.甲方伪造出勤信息、提供虚假身份信息套取、高估冒算农民工工资的，经核实，高估冒算超出费用，乙方按倍向甲方收回，从剩余分包工程款中直接扣除。</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color w:val="333333"/>
        </w:rPr>
      </w:pPr>
      <w:r>
        <w:rPr>
          <w:rFonts w:hint="eastAsia"/>
          <w:color w:val="333333"/>
        </w:rPr>
        <w:t>3.任何一方未履行承诺，对方有权追究其法律责任。</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color w:val="333333"/>
        </w:rPr>
      </w:pPr>
      <w:r>
        <w:rPr>
          <w:rFonts w:hint="eastAsia"/>
          <w:color w:val="333333"/>
        </w:rPr>
        <w:t>本协议一式二份，双方签字盖章后生效。</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left="0" w:firstLine="480" w:firstLineChars="200"/>
        <w:textAlignment w:val="auto"/>
        <w:rPr>
          <w:color w:val="333333"/>
        </w:rPr>
      </w:pPr>
      <w:r>
        <w:rPr>
          <w:rFonts w:hint="eastAsia"/>
          <w:color w:val="333333"/>
        </w:rPr>
        <w:t>甲方：（公章）</w:t>
      </w:r>
      <w:r>
        <w:rPr>
          <w:rFonts w:hint="eastAsia"/>
          <w:color w:val="333333"/>
          <w:lang w:val="en-US" w:eastAsia="zh-CN"/>
        </w:rPr>
        <w:t xml:space="preserve">                          </w:t>
      </w:r>
      <w:r>
        <w:rPr>
          <w:rFonts w:hint="eastAsia"/>
          <w:color w:val="333333"/>
        </w:rPr>
        <w:t>乙方：（公章）</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left="0" w:firstLine="480" w:firstLineChars="200"/>
        <w:textAlignment w:val="auto"/>
        <w:rPr>
          <w:color w:val="333333"/>
        </w:rPr>
      </w:pPr>
      <w:r>
        <w:rPr>
          <w:rFonts w:hint="eastAsia"/>
          <w:color w:val="333333"/>
        </w:rPr>
        <w:t>法定代表人：（签字）</w:t>
      </w:r>
      <w:r>
        <w:rPr>
          <w:rFonts w:hint="eastAsia"/>
          <w:color w:val="333333"/>
          <w:lang w:val="en-US" w:eastAsia="zh-CN"/>
        </w:rPr>
        <w:t xml:space="preserve">                    </w:t>
      </w:r>
      <w:r>
        <w:rPr>
          <w:rFonts w:hint="eastAsia"/>
          <w:color w:val="333333"/>
        </w:rPr>
        <w:t>法定代表人：（签字）</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left="0" w:firstLine="1200" w:firstLineChars="500"/>
        <w:textAlignment w:val="auto"/>
        <w:rPr>
          <w:rFonts w:ascii="仿宋" w:hAnsi="仿宋" w:eastAsia="仿宋"/>
          <w:sz w:val="32"/>
          <w:szCs w:val="32"/>
        </w:rPr>
      </w:pPr>
      <w:r>
        <w:rPr>
          <w:rFonts w:hint="eastAsia"/>
          <w:color w:val="333333"/>
        </w:rPr>
        <w:t>年</w:t>
      </w:r>
      <w:r>
        <w:rPr>
          <w:rFonts w:hint="eastAsia"/>
          <w:color w:val="333333"/>
          <w:lang w:val="en-US" w:eastAsia="zh-CN"/>
        </w:rPr>
        <w:t xml:space="preserve">    </w:t>
      </w:r>
      <w:r>
        <w:rPr>
          <w:rFonts w:hint="eastAsia"/>
          <w:color w:val="333333"/>
        </w:rPr>
        <w:t>月</w:t>
      </w:r>
      <w:r>
        <w:rPr>
          <w:rFonts w:hint="eastAsia"/>
          <w:color w:val="333333"/>
          <w:lang w:val="en-US" w:eastAsia="zh-CN"/>
        </w:rPr>
        <w:t xml:space="preserve">    </w:t>
      </w:r>
      <w:r>
        <w:rPr>
          <w:rFonts w:hint="eastAsia"/>
          <w:color w:val="333333"/>
        </w:rPr>
        <w:t>日</w:t>
      </w:r>
      <w:r>
        <w:rPr>
          <w:rFonts w:hint="eastAsia"/>
          <w:color w:val="333333"/>
          <w:lang w:val="en-US" w:eastAsia="zh-CN"/>
        </w:rPr>
        <w:t xml:space="preserve">                       </w:t>
      </w:r>
      <w:r>
        <w:rPr>
          <w:rFonts w:hint="eastAsia"/>
          <w:color w:val="333333"/>
        </w:rPr>
        <w:t>年</w:t>
      </w:r>
      <w:r>
        <w:rPr>
          <w:rFonts w:hint="eastAsia"/>
          <w:color w:val="333333"/>
          <w:lang w:val="en-US" w:eastAsia="zh-CN"/>
        </w:rPr>
        <w:t xml:space="preserve">    </w:t>
      </w:r>
      <w:r>
        <w:rPr>
          <w:rFonts w:hint="eastAsia"/>
          <w:color w:val="333333"/>
        </w:rPr>
        <w:t>月</w:t>
      </w:r>
      <w:r>
        <w:rPr>
          <w:rFonts w:hint="eastAsia"/>
          <w:color w:val="333333"/>
          <w:lang w:val="en-US" w:eastAsia="zh-CN"/>
        </w:rPr>
        <w:t xml:space="preserve">    </w:t>
      </w:r>
      <w:r>
        <w:rPr>
          <w:rFonts w:hint="eastAsia"/>
          <w:color w:val="333333"/>
        </w:rPr>
        <w:t>日</w:t>
      </w:r>
    </w:p>
    <w:sectPr>
      <w:headerReference r:id="rId3" w:type="default"/>
      <w:footerReference r:id="rId4" w:type="default"/>
      <w:pgSz w:w="11906" w:h="16838"/>
      <w:pgMar w:top="1134" w:right="1531" w:bottom="1134" w:left="158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4097" o:spid="_x0000_s4097" o:spt="202" type="#_x0000_t202" style="position:absolute;left:0pt;margin-top:0pt;height:10.35pt;width:9.05pt;mso-position-horizontal:center;mso-position-horizontal-relative:margin;mso-wrap-distance-bottom:0pt;mso-wrap-distance-left:0pt;mso-wrap-distance-right:0pt;mso-wrap-distance-top:0pt;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6"/>
                  <w:rPr>
                    <w:rStyle w:val="11"/>
                  </w:rPr>
                </w:pPr>
                <w:r>
                  <w:rPr>
                    <w:rStyle w:val="11"/>
                  </w:rPr>
                  <w:fldChar w:fldCharType="begin"/>
                </w:r>
                <w:r>
                  <w:rPr>
                    <w:rStyle w:val="11"/>
                  </w:rPr>
                  <w:instrText xml:space="preserve">PAGE  </w:instrText>
                </w:r>
                <w:r>
                  <w:rPr>
                    <w:rStyle w:val="11"/>
                  </w:rPr>
                  <w:fldChar w:fldCharType="separate"/>
                </w:r>
                <w:r>
                  <w:rPr>
                    <w:rStyle w:val="11"/>
                  </w:rPr>
                  <w:t>22</w:t>
                </w:r>
                <w:r>
                  <w:rPr>
                    <w:rStyle w:val="11"/>
                  </w:rPr>
                  <w:fldChar w:fldCharType="end"/>
                </w:r>
              </w:p>
            </w:txbxContent>
          </v:textbox>
          <w10:wrap type="square"/>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4F3C56"/>
    <w:multiLevelType w:val="singleLevel"/>
    <w:tmpl w:val="994F3C56"/>
    <w:lvl w:ilvl="0" w:tentative="0">
      <w:start w:val="3"/>
      <w:numFmt w:val="chineseCounting"/>
      <w:suff w:val="nothing"/>
      <w:lvlText w:val="（%1）"/>
      <w:lvlJc w:val="left"/>
      <w:rPr>
        <w:rFonts w:hint="eastAsia"/>
      </w:rPr>
    </w:lvl>
  </w:abstractNum>
  <w:abstractNum w:abstractNumId="1">
    <w:nsid w:val="D2BDF5F3"/>
    <w:multiLevelType w:val="singleLevel"/>
    <w:tmpl w:val="D2BDF5F3"/>
    <w:lvl w:ilvl="0" w:tentative="0">
      <w:start w:val="1"/>
      <w:numFmt w:val="decimal"/>
      <w:suff w:val="nothing"/>
      <w:lvlText w:val="%1、"/>
      <w:lvlJc w:val="left"/>
    </w:lvl>
  </w:abstractNum>
  <w:abstractNum w:abstractNumId="2">
    <w:nsid w:val="042E79FC"/>
    <w:multiLevelType w:val="multilevel"/>
    <w:tmpl w:val="042E79FC"/>
    <w:lvl w:ilvl="0" w:tentative="0">
      <w:start w:val="1"/>
      <w:numFmt w:val="decimal"/>
      <w:pStyle w:val="2"/>
      <w:lvlText w:val="%1."/>
      <w:lvlJc w:val="left"/>
      <w:pPr>
        <w:ind w:left="420" w:hanging="420"/>
      </w:pPr>
    </w:lvl>
    <w:lvl w:ilvl="1" w:tentative="0">
      <w:start w:val="1"/>
      <w:numFmt w:val="decimal"/>
      <w:isLgl/>
      <w:lvlText w:val="%1.%2"/>
      <w:lvlJc w:val="left"/>
      <w:pPr>
        <w:ind w:left="720" w:hanging="720"/>
      </w:pPr>
    </w:lvl>
    <w:lvl w:ilvl="2" w:tentative="0">
      <w:start w:val="1"/>
      <w:numFmt w:val="decimal"/>
      <w:isLgl/>
      <w:lvlText w:val="%1.%2.%3"/>
      <w:lvlJc w:val="left"/>
      <w:pPr>
        <w:ind w:left="720" w:hanging="720"/>
      </w:pPr>
    </w:lvl>
    <w:lvl w:ilvl="3" w:tentative="0">
      <w:start w:val="1"/>
      <w:numFmt w:val="decimal"/>
      <w:isLgl/>
      <w:lvlText w:val="%1.%2.%3.%4"/>
      <w:lvlJc w:val="left"/>
      <w:pPr>
        <w:ind w:left="1080" w:hanging="1080"/>
      </w:pPr>
    </w:lvl>
    <w:lvl w:ilvl="4" w:tentative="0">
      <w:start w:val="1"/>
      <w:numFmt w:val="decimal"/>
      <w:isLgl/>
      <w:lvlText w:val="%1.%2.%3.%4.%5"/>
      <w:lvlJc w:val="left"/>
      <w:pPr>
        <w:ind w:left="1440" w:hanging="1440"/>
      </w:pPr>
    </w:lvl>
    <w:lvl w:ilvl="5" w:tentative="0">
      <w:start w:val="1"/>
      <w:numFmt w:val="decimal"/>
      <w:isLgl/>
      <w:lvlText w:val="%1.%2.%3.%4.%5.%6"/>
      <w:lvlJc w:val="left"/>
      <w:pPr>
        <w:ind w:left="1440" w:hanging="1440"/>
      </w:pPr>
    </w:lvl>
    <w:lvl w:ilvl="6" w:tentative="0">
      <w:start w:val="1"/>
      <w:numFmt w:val="decimal"/>
      <w:isLgl/>
      <w:lvlText w:val="%1.%2.%3.%4.%5.%6.%7"/>
      <w:lvlJc w:val="left"/>
      <w:pPr>
        <w:ind w:left="1800" w:hanging="1800"/>
      </w:pPr>
    </w:lvl>
    <w:lvl w:ilvl="7" w:tentative="0">
      <w:start w:val="1"/>
      <w:numFmt w:val="decimal"/>
      <w:isLgl/>
      <w:lvlText w:val="%1.%2.%3.%4.%5.%6.%7.%8"/>
      <w:lvlJc w:val="left"/>
      <w:pPr>
        <w:ind w:left="2160" w:hanging="2160"/>
      </w:pPr>
    </w:lvl>
    <w:lvl w:ilvl="8" w:tentative="0">
      <w:start w:val="1"/>
      <w:numFmt w:val="decimal"/>
      <w:isLgl/>
      <w:lvlText w:val="%1.%2.%3.%4.%5.%6.%7.%8.%9"/>
      <w:lvlJc w:val="left"/>
      <w:pPr>
        <w:ind w:left="2160" w:hanging="2160"/>
      </w:pPr>
    </w:lvl>
  </w:abstractNum>
  <w:abstractNum w:abstractNumId="3">
    <w:nsid w:val="28207F25"/>
    <w:multiLevelType w:val="multilevel"/>
    <w:tmpl w:val="28207F25"/>
    <w:lvl w:ilvl="0" w:tentative="0">
      <w:start w:val="1"/>
      <w:numFmt w:val="decimal"/>
      <w:lvlText w:val="(%1)"/>
      <w:lvlJc w:val="left"/>
      <w:pPr>
        <w:tabs>
          <w:tab w:val="left" w:pos="1320"/>
        </w:tabs>
        <w:ind w:left="1320" w:hanging="84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31716DC5"/>
    <w:multiLevelType w:val="multilevel"/>
    <w:tmpl w:val="31716DC5"/>
    <w:lvl w:ilvl="0" w:tentative="0">
      <w:start w:val="1"/>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444E151E"/>
    <w:multiLevelType w:val="multilevel"/>
    <w:tmpl w:val="444E151E"/>
    <w:lvl w:ilvl="0" w:tentative="0">
      <w:start w:val="1"/>
      <w:numFmt w:val="decimal"/>
      <w:lvlText w:val="(%1)、"/>
      <w:lvlJc w:val="left"/>
      <w:pPr>
        <w:tabs>
          <w:tab w:val="left" w:pos="1740"/>
        </w:tabs>
        <w:ind w:left="1740" w:hanging="840"/>
      </w:pPr>
      <w:rPr>
        <w:rFonts w:hint="default"/>
      </w:rPr>
    </w:lvl>
    <w:lvl w:ilvl="1" w:tentative="0">
      <w:start w:val="1"/>
      <w:numFmt w:val="decimal"/>
      <w:lvlText w:val="%2、"/>
      <w:lvlJc w:val="left"/>
      <w:pPr>
        <w:tabs>
          <w:tab w:val="left" w:pos="1407"/>
        </w:tabs>
        <w:ind w:left="1407" w:hanging="840"/>
      </w:pPr>
      <w:rPr>
        <w:rFonts w:hint="default"/>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553B2"/>
    <w:rsid w:val="00013769"/>
    <w:rsid w:val="000212EC"/>
    <w:rsid w:val="000A764D"/>
    <w:rsid w:val="002272DB"/>
    <w:rsid w:val="002F2E05"/>
    <w:rsid w:val="00456E2F"/>
    <w:rsid w:val="004B1C14"/>
    <w:rsid w:val="005A1242"/>
    <w:rsid w:val="005A61D0"/>
    <w:rsid w:val="00614F45"/>
    <w:rsid w:val="0063378B"/>
    <w:rsid w:val="00670358"/>
    <w:rsid w:val="00670C82"/>
    <w:rsid w:val="00671D58"/>
    <w:rsid w:val="00734F57"/>
    <w:rsid w:val="007B0416"/>
    <w:rsid w:val="007F1193"/>
    <w:rsid w:val="00875BAB"/>
    <w:rsid w:val="008A6DD1"/>
    <w:rsid w:val="008C704D"/>
    <w:rsid w:val="008E552C"/>
    <w:rsid w:val="00914551"/>
    <w:rsid w:val="009553B2"/>
    <w:rsid w:val="009E6B38"/>
    <w:rsid w:val="00A522B4"/>
    <w:rsid w:val="00A72CEA"/>
    <w:rsid w:val="00A7613F"/>
    <w:rsid w:val="00AB1B41"/>
    <w:rsid w:val="00AD517C"/>
    <w:rsid w:val="00AE22AE"/>
    <w:rsid w:val="00B11587"/>
    <w:rsid w:val="00B830C2"/>
    <w:rsid w:val="00BA22E7"/>
    <w:rsid w:val="00BE2A7F"/>
    <w:rsid w:val="00CC3066"/>
    <w:rsid w:val="00D833D9"/>
    <w:rsid w:val="00E34575"/>
    <w:rsid w:val="00E43462"/>
    <w:rsid w:val="00E60C02"/>
    <w:rsid w:val="00EA7DCA"/>
    <w:rsid w:val="00F06771"/>
    <w:rsid w:val="00FC637D"/>
    <w:rsid w:val="020D098D"/>
    <w:rsid w:val="02961333"/>
    <w:rsid w:val="036D3EE0"/>
    <w:rsid w:val="04030E7F"/>
    <w:rsid w:val="041D6FA3"/>
    <w:rsid w:val="041E4C94"/>
    <w:rsid w:val="04855E50"/>
    <w:rsid w:val="04F64BB0"/>
    <w:rsid w:val="06AE242E"/>
    <w:rsid w:val="07AC47C8"/>
    <w:rsid w:val="096913D1"/>
    <w:rsid w:val="0A3579FD"/>
    <w:rsid w:val="0AF703A3"/>
    <w:rsid w:val="0C7640A2"/>
    <w:rsid w:val="0C78690C"/>
    <w:rsid w:val="0CB84793"/>
    <w:rsid w:val="0DBE0B82"/>
    <w:rsid w:val="10C92206"/>
    <w:rsid w:val="116939F0"/>
    <w:rsid w:val="12134E47"/>
    <w:rsid w:val="12F744EF"/>
    <w:rsid w:val="150536A4"/>
    <w:rsid w:val="15150342"/>
    <w:rsid w:val="17250329"/>
    <w:rsid w:val="1726576F"/>
    <w:rsid w:val="17A34285"/>
    <w:rsid w:val="1815430E"/>
    <w:rsid w:val="18C3370C"/>
    <w:rsid w:val="1940020A"/>
    <w:rsid w:val="194D11BD"/>
    <w:rsid w:val="19FF296A"/>
    <w:rsid w:val="1A7D6E90"/>
    <w:rsid w:val="1AC128F6"/>
    <w:rsid w:val="1B653917"/>
    <w:rsid w:val="1D067F77"/>
    <w:rsid w:val="1D0E3FEC"/>
    <w:rsid w:val="1E4D7272"/>
    <w:rsid w:val="1EB00170"/>
    <w:rsid w:val="1F146C86"/>
    <w:rsid w:val="20432576"/>
    <w:rsid w:val="20FA428B"/>
    <w:rsid w:val="21591AB9"/>
    <w:rsid w:val="21CD1EB8"/>
    <w:rsid w:val="23A60DE9"/>
    <w:rsid w:val="254A4B15"/>
    <w:rsid w:val="25EE1CEB"/>
    <w:rsid w:val="26FF6383"/>
    <w:rsid w:val="27AE4FFD"/>
    <w:rsid w:val="27E03364"/>
    <w:rsid w:val="288D5BE8"/>
    <w:rsid w:val="28CF396B"/>
    <w:rsid w:val="29F109C5"/>
    <w:rsid w:val="2A5E79A9"/>
    <w:rsid w:val="2B72648F"/>
    <w:rsid w:val="2BD34510"/>
    <w:rsid w:val="2CA31487"/>
    <w:rsid w:val="2CA50F4F"/>
    <w:rsid w:val="2CF34B8E"/>
    <w:rsid w:val="2DEB4CF9"/>
    <w:rsid w:val="2DF04ED0"/>
    <w:rsid w:val="2EAE6AB1"/>
    <w:rsid w:val="2EB201B1"/>
    <w:rsid w:val="2FB544A5"/>
    <w:rsid w:val="30CA6652"/>
    <w:rsid w:val="31343EA6"/>
    <w:rsid w:val="326828BF"/>
    <w:rsid w:val="32B93183"/>
    <w:rsid w:val="33E10EC0"/>
    <w:rsid w:val="34197E03"/>
    <w:rsid w:val="34576926"/>
    <w:rsid w:val="34AC4670"/>
    <w:rsid w:val="34E74C26"/>
    <w:rsid w:val="359350A9"/>
    <w:rsid w:val="36883143"/>
    <w:rsid w:val="36CA021F"/>
    <w:rsid w:val="378532DA"/>
    <w:rsid w:val="39F73624"/>
    <w:rsid w:val="3AAC3808"/>
    <w:rsid w:val="3B6D2EE6"/>
    <w:rsid w:val="3BBF2D3F"/>
    <w:rsid w:val="3E0B34E4"/>
    <w:rsid w:val="3E720C60"/>
    <w:rsid w:val="3FA35A0B"/>
    <w:rsid w:val="3FD035D4"/>
    <w:rsid w:val="40372DC5"/>
    <w:rsid w:val="40F224B6"/>
    <w:rsid w:val="435559F1"/>
    <w:rsid w:val="439E13B0"/>
    <w:rsid w:val="43D23CEA"/>
    <w:rsid w:val="449814DC"/>
    <w:rsid w:val="477451DF"/>
    <w:rsid w:val="47C837F6"/>
    <w:rsid w:val="480A3042"/>
    <w:rsid w:val="480F36D0"/>
    <w:rsid w:val="48F87765"/>
    <w:rsid w:val="49F55F01"/>
    <w:rsid w:val="4A725DB2"/>
    <w:rsid w:val="4B2C3FEE"/>
    <w:rsid w:val="4C522DBC"/>
    <w:rsid w:val="4CDF1D51"/>
    <w:rsid w:val="4E323A71"/>
    <w:rsid w:val="51EB024A"/>
    <w:rsid w:val="529F2529"/>
    <w:rsid w:val="52B41035"/>
    <w:rsid w:val="53A87A87"/>
    <w:rsid w:val="53CB7596"/>
    <w:rsid w:val="543C0895"/>
    <w:rsid w:val="55EF1BB7"/>
    <w:rsid w:val="569B4127"/>
    <w:rsid w:val="571418FF"/>
    <w:rsid w:val="581D7502"/>
    <w:rsid w:val="586F492B"/>
    <w:rsid w:val="58894E0D"/>
    <w:rsid w:val="58974E68"/>
    <w:rsid w:val="599515D1"/>
    <w:rsid w:val="599A0AA8"/>
    <w:rsid w:val="5B0C15D8"/>
    <w:rsid w:val="5B550865"/>
    <w:rsid w:val="5C585519"/>
    <w:rsid w:val="5C6B18AD"/>
    <w:rsid w:val="5C935018"/>
    <w:rsid w:val="5CB34F44"/>
    <w:rsid w:val="5D0245FB"/>
    <w:rsid w:val="5E3C5B89"/>
    <w:rsid w:val="5EC51853"/>
    <w:rsid w:val="5FD22877"/>
    <w:rsid w:val="6039145E"/>
    <w:rsid w:val="611A738A"/>
    <w:rsid w:val="61CB3B48"/>
    <w:rsid w:val="62020B73"/>
    <w:rsid w:val="622872A3"/>
    <w:rsid w:val="624D4E52"/>
    <w:rsid w:val="628250A3"/>
    <w:rsid w:val="628C3EAF"/>
    <w:rsid w:val="62B81254"/>
    <w:rsid w:val="62BB58B2"/>
    <w:rsid w:val="633142AF"/>
    <w:rsid w:val="6335336C"/>
    <w:rsid w:val="64655894"/>
    <w:rsid w:val="66B439D5"/>
    <w:rsid w:val="67E15A29"/>
    <w:rsid w:val="687706D4"/>
    <w:rsid w:val="68C15DAD"/>
    <w:rsid w:val="68E66A35"/>
    <w:rsid w:val="68FD3980"/>
    <w:rsid w:val="69356B43"/>
    <w:rsid w:val="69C67A8F"/>
    <w:rsid w:val="69C7772C"/>
    <w:rsid w:val="6BE23CEA"/>
    <w:rsid w:val="6BFD4480"/>
    <w:rsid w:val="6D2606D3"/>
    <w:rsid w:val="6D377CF3"/>
    <w:rsid w:val="6F6C57A4"/>
    <w:rsid w:val="6F6F1F30"/>
    <w:rsid w:val="6F8675EB"/>
    <w:rsid w:val="6FEA7718"/>
    <w:rsid w:val="70ED09B2"/>
    <w:rsid w:val="70FA0F38"/>
    <w:rsid w:val="715F37BE"/>
    <w:rsid w:val="7163651E"/>
    <w:rsid w:val="71FC00DE"/>
    <w:rsid w:val="75046B46"/>
    <w:rsid w:val="75482C5F"/>
    <w:rsid w:val="755C26D6"/>
    <w:rsid w:val="756833CF"/>
    <w:rsid w:val="776025FF"/>
    <w:rsid w:val="784D0333"/>
    <w:rsid w:val="7A06246D"/>
    <w:rsid w:val="7B123260"/>
    <w:rsid w:val="7B18034F"/>
    <w:rsid w:val="7C304941"/>
    <w:rsid w:val="7F8023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0"/>
    <w:pPr>
      <w:keepNext/>
      <w:keepLines/>
      <w:numPr>
        <w:ilvl w:val="0"/>
        <w:numId w:val="1"/>
      </w:numPr>
      <w:spacing w:before="240" w:after="120" w:line="360" w:lineRule="auto"/>
      <w:outlineLvl w:val="0"/>
    </w:pPr>
    <w:rPr>
      <w:rFonts w:eastAsia="黑体"/>
      <w:b/>
      <w:bCs/>
      <w:color w:val="800000"/>
      <w:kern w:val="44"/>
      <w:sz w:val="28"/>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Date"/>
    <w:basedOn w:val="1"/>
    <w:next w:val="1"/>
    <w:qFormat/>
    <w:uiPriority w:val="0"/>
    <w:rPr>
      <w:rFonts w:eastAsia="仿宋_GB2312"/>
      <w:sz w:val="32"/>
      <w:szCs w:val="20"/>
    </w:rPr>
  </w:style>
  <w:style w:type="paragraph" w:styleId="5">
    <w:name w:val="Balloon Text"/>
    <w:basedOn w:val="1"/>
    <w:link w:val="18"/>
    <w:qFormat/>
    <w:uiPriority w:val="0"/>
    <w:rPr>
      <w:sz w:val="18"/>
      <w:szCs w:val="18"/>
    </w:rPr>
  </w:style>
  <w:style w:type="paragraph" w:styleId="6">
    <w:name w:val="footer"/>
    <w:basedOn w:val="1"/>
    <w:link w:val="17"/>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1">
    <w:name w:val="page number"/>
    <w:basedOn w:val="10"/>
    <w:qFormat/>
    <w:uiPriority w:val="0"/>
  </w:style>
  <w:style w:type="character" w:styleId="12">
    <w:name w:val="Emphasis"/>
    <w:basedOn w:val="10"/>
    <w:qFormat/>
    <w:uiPriority w:val="0"/>
    <w:rPr>
      <w:i/>
    </w:rPr>
  </w:style>
  <w:style w:type="character" w:styleId="13">
    <w:name w:val="Hyperlink"/>
    <w:basedOn w:val="10"/>
    <w:qFormat/>
    <w:uiPriority w:val="0"/>
    <w:rPr>
      <w:color w:val="0000FF"/>
      <w:u w:val="single"/>
    </w:rPr>
  </w:style>
  <w:style w:type="character" w:customStyle="1" w:styleId="14">
    <w:name w:val="标题 1 Char"/>
    <w:basedOn w:val="10"/>
    <w:link w:val="2"/>
    <w:qFormat/>
    <w:uiPriority w:val="0"/>
    <w:rPr>
      <w:rFonts w:eastAsia="黑体"/>
      <w:b/>
      <w:bCs/>
      <w:color w:val="800000"/>
      <w:kern w:val="44"/>
      <w:sz w:val="28"/>
      <w:szCs w:val="44"/>
    </w:rPr>
  </w:style>
  <w:style w:type="paragraph" w:customStyle="1" w:styleId="15">
    <w:name w:val="表格文字1"/>
    <w:next w:val="1"/>
    <w:qFormat/>
    <w:uiPriority w:val="0"/>
    <w:pPr>
      <w:spacing w:line="240" w:lineRule="exact"/>
      <w:jc w:val="center"/>
    </w:pPr>
    <w:rPr>
      <w:rFonts w:ascii="Times New Roman" w:hAnsi="Times New Roman" w:eastAsia="宋体" w:cs="Times New Roman"/>
      <w:lang w:val="en-US" w:eastAsia="zh-CN" w:bidi="ar-SA"/>
    </w:rPr>
  </w:style>
  <w:style w:type="character" w:customStyle="1" w:styleId="16">
    <w:name w:val="页眉 Char"/>
    <w:basedOn w:val="10"/>
    <w:link w:val="7"/>
    <w:qFormat/>
    <w:uiPriority w:val="0"/>
    <w:rPr>
      <w:kern w:val="2"/>
      <w:sz w:val="18"/>
      <w:szCs w:val="18"/>
    </w:rPr>
  </w:style>
  <w:style w:type="character" w:customStyle="1" w:styleId="17">
    <w:name w:val="页脚 Char"/>
    <w:basedOn w:val="10"/>
    <w:link w:val="6"/>
    <w:qFormat/>
    <w:uiPriority w:val="0"/>
    <w:rPr>
      <w:kern w:val="2"/>
      <w:sz w:val="18"/>
      <w:szCs w:val="18"/>
    </w:rPr>
  </w:style>
  <w:style w:type="character" w:customStyle="1" w:styleId="18">
    <w:name w:val="批注框文本 Char"/>
    <w:basedOn w:val="10"/>
    <w:link w:val="5"/>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QBPC</Company>
  <Pages>22</Pages>
  <Words>2138</Words>
  <Characters>12192</Characters>
  <Lines>101</Lines>
  <Paragraphs>28</Paragraphs>
  <TotalTime>3</TotalTime>
  <ScaleCrop>false</ScaleCrop>
  <LinksUpToDate>false</LinksUpToDate>
  <CharactersWithSpaces>14302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2019-07-17T01:19:00Z</dcterms:created>
  <dc:creator>xb21cn</dc:creator>
  <cp:lastModifiedBy>麦火柴</cp:lastModifiedBy>
  <cp:lastPrinted>2019-09-05T07:23:00Z</cp:lastPrinted>
  <dcterms:modified xsi:type="dcterms:W3CDTF">2019-09-05T07:56:13Z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